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6FBA" w14:textId="6227A275" w:rsidR="00D20C1D" w:rsidRPr="00A341F2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/>
          <w:iCs/>
          <w:color w:val="000000"/>
          <w:sz w:val="28"/>
          <w:szCs w:val="28"/>
        </w:rPr>
      </w:pPr>
      <w:r w:rsidRPr="00467EC1">
        <w:rPr>
          <w:rFonts w:ascii="Trebuchet MS" w:hAnsi="Trebuchet MS" w:cs="Arial-BoldItalicMT"/>
          <w:b/>
          <w:bCs/>
          <w:i/>
          <w:iCs/>
          <w:color w:val="000000"/>
          <w:sz w:val="24"/>
          <w:szCs w:val="24"/>
        </w:rPr>
        <w:t xml:space="preserve">          </w:t>
      </w:r>
      <w:r w:rsidR="00D1488F">
        <w:rPr>
          <w:rFonts w:ascii="Trebuchet MS" w:hAnsi="Trebuchet MS" w:cs="Arial-BoldItalicMT"/>
          <w:b/>
          <w:bCs/>
          <w:i/>
          <w:iCs/>
          <w:color w:val="000000"/>
          <w:sz w:val="24"/>
          <w:szCs w:val="24"/>
        </w:rPr>
        <w:t xml:space="preserve">           </w:t>
      </w:r>
      <w:r w:rsidR="00A341F2">
        <w:rPr>
          <w:rFonts w:ascii="Trebuchet MS" w:hAnsi="Trebuchet MS" w:cs="Arial-BoldItalicMT"/>
          <w:b/>
          <w:bCs/>
          <w:i/>
          <w:iCs/>
          <w:color w:val="000000"/>
          <w:sz w:val="24"/>
          <w:szCs w:val="24"/>
        </w:rPr>
        <w:t xml:space="preserve">    </w:t>
      </w:r>
      <w:r w:rsidR="00406270" w:rsidRPr="00A341F2">
        <w:rPr>
          <w:rFonts w:ascii="Trebuchet MS" w:hAnsi="Trebuchet MS" w:cs="Arial-BoldItalicMT"/>
          <w:b/>
          <w:bCs/>
          <w:i/>
          <w:iCs/>
          <w:color w:val="000000"/>
          <w:sz w:val="28"/>
          <w:szCs w:val="28"/>
        </w:rPr>
        <w:t>The Cures Act: Novel Clinical Trial Designs</w:t>
      </w:r>
    </w:p>
    <w:p w14:paraId="17D3C7FA" w14:textId="77777777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                                        </w:t>
      </w:r>
    </w:p>
    <w:p w14:paraId="2F4A123C" w14:textId="32F6AC19" w:rsidR="005446FB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                                       </w:t>
      </w:r>
      <w:r w:rsidR="00A44EE3"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="001E7AC0"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="00124895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3261DD"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Pr="00467EC1">
        <w:rPr>
          <w:rFonts w:ascii="Trebuchet MS" w:hAnsi="Trebuchet MS" w:cs="ArialMT"/>
          <w:color w:val="000000"/>
          <w:sz w:val="24"/>
          <w:szCs w:val="24"/>
        </w:rPr>
        <w:t>by Larry Schwa</w:t>
      </w:r>
      <w:r w:rsidR="00603FA3">
        <w:rPr>
          <w:rFonts w:ascii="Trebuchet MS" w:hAnsi="Trebuchet MS" w:cs="ArialMT"/>
          <w:color w:val="000000"/>
          <w:sz w:val="24"/>
          <w:szCs w:val="24"/>
        </w:rPr>
        <w:t xml:space="preserve">rtz </w:t>
      </w:r>
    </w:p>
    <w:p w14:paraId="639F3E18" w14:textId="77777777" w:rsidR="005446FB" w:rsidRDefault="005446FB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 xml:space="preserve">                                          </w:t>
      </w:r>
    </w:p>
    <w:p w14:paraId="5BD00D3B" w14:textId="066B8EAA" w:rsidR="00D20C1D" w:rsidRPr="00467EC1" w:rsidRDefault="005446FB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 xml:space="preserve">                                               </w:t>
      </w:r>
      <w:r w:rsidR="00A664FF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3261DD">
        <w:rPr>
          <w:rFonts w:ascii="Trebuchet MS" w:hAnsi="Trebuchet MS" w:cs="ArialMT"/>
          <w:color w:val="000000"/>
          <w:sz w:val="24"/>
          <w:szCs w:val="24"/>
        </w:rPr>
        <w:t xml:space="preserve">   </w:t>
      </w:r>
      <w:r w:rsidR="00D20C1D" w:rsidRPr="00467EC1">
        <w:rPr>
          <w:rFonts w:ascii="Trebuchet MS" w:hAnsi="Trebuchet MS" w:cs="ArialMT"/>
          <w:color w:val="000000"/>
          <w:sz w:val="24"/>
          <w:szCs w:val="24"/>
        </w:rPr>
        <w:t>July 2018</w:t>
      </w:r>
    </w:p>
    <w:p w14:paraId="4D6109D2" w14:textId="77777777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/>
          <w:iCs/>
          <w:color w:val="000000"/>
          <w:sz w:val="24"/>
          <w:szCs w:val="24"/>
        </w:rPr>
      </w:pPr>
    </w:p>
    <w:p w14:paraId="57988865" w14:textId="1F8F34D8" w:rsidR="00D20C1D" w:rsidRPr="00A341F2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/>
          <w:iCs/>
          <w:color w:val="000000"/>
          <w:sz w:val="28"/>
          <w:szCs w:val="28"/>
        </w:rPr>
      </w:pPr>
      <w:r w:rsidRPr="00A341F2">
        <w:rPr>
          <w:rFonts w:ascii="Trebuchet MS" w:hAnsi="Trebuchet MS" w:cs="Arial-BoldItalicMT"/>
          <w:b/>
          <w:bCs/>
          <w:i/>
          <w:iCs/>
          <w:color w:val="000000"/>
          <w:sz w:val="28"/>
          <w:szCs w:val="28"/>
        </w:rPr>
        <w:t>I</w:t>
      </w:r>
      <w:r w:rsidR="00A341F2">
        <w:rPr>
          <w:rFonts w:ascii="Trebuchet MS" w:hAnsi="Trebuchet MS" w:cs="Arial-BoldItalicMT"/>
          <w:b/>
          <w:bCs/>
          <w:i/>
          <w:iCs/>
          <w:color w:val="000000"/>
          <w:sz w:val="28"/>
          <w:szCs w:val="28"/>
        </w:rPr>
        <w:t>ntroduction</w:t>
      </w:r>
    </w:p>
    <w:p w14:paraId="00E26250" w14:textId="77777777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AD76E55" w14:textId="53FB085D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The Adult Polyglucosan Body Disease Research Foundation (APBDRF) is </w:t>
      </w:r>
      <w:r w:rsidR="007F5B3F" w:rsidRPr="007F5B3F">
        <w:rPr>
          <w:rFonts w:ascii="Trebuchet MS" w:hAnsi="Trebuchet MS"/>
          <w:color w:val="3F3F3F"/>
          <w:sz w:val="24"/>
          <w:szCs w:val="24"/>
        </w:rPr>
        <w:t>entering into a clinical trial phase.</w:t>
      </w:r>
      <w:r w:rsidR="007F5B3F">
        <w:rPr>
          <w:rFonts w:ascii="Trebuchet MS" w:hAnsi="Trebuchet MS"/>
          <w:color w:val="3F3F3F"/>
          <w:sz w:val="21"/>
          <w:szCs w:val="21"/>
        </w:rPr>
        <w:t xml:space="preserve"> </w:t>
      </w:r>
      <w:r w:rsidR="00FF5549" w:rsidRPr="00FF5549">
        <w:rPr>
          <w:rFonts w:ascii="Trebuchet MS" w:hAnsi="Trebuchet MS"/>
          <w:color w:val="3F3F3F"/>
          <w:sz w:val="24"/>
          <w:szCs w:val="24"/>
        </w:rPr>
        <w:t>Currently,</w:t>
      </w:r>
      <w:r w:rsidR="00FF5549">
        <w:rPr>
          <w:rFonts w:ascii="Trebuchet MS" w:hAnsi="Trebuchet MS"/>
          <w:color w:val="3F3F3F"/>
          <w:sz w:val="21"/>
          <w:szCs w:val="21"/>
        </w:rPr>
        <w:t xml:space="preserve"> t</w:t>
      </w:r>
      <w:r w:rsidR="00AE3519" w:rsidRPr="00AE3519">
        <w:rPr>
          <w:rFonts w:ascii="Trebuchet MS" w:hAnsi="Trebuchet MS"/>
          <w:color w:val="3F3F3F"/>
          <w:sz w:val="24"/>
          <w:szCs w:val="24"/>
        </w:rPr>
        <w:t xml:space="preserve">he </w:t>
      </w:r>
      <w:r w:rsidR="00BD15C1">
        <w:rPr>
          <w:rFonts w:ascii="Trebuchet MS" w:hAnsi="Trebuchet MS"/>
          <w:color w:val="3F3F3F"/>
          <w:sz w:val="24"/>
          <w:szCs w:val="24"/>
        </w:rPr>
        <w:t>Foundation</w:t>
      </w:r>
      <w:r w:rsidR="00AE3519">
        <w:rPr>
          <w:rFonts w:ascii="Trebuchet MS" w:hAnsi="Trebuchet MS"/>
          <w:color w:val="3F3F3F"/>
          <w:sz w:val="21"/>
          <w:szCs w:val="21"/>
        </w:rPr>
        <w:t xml:space="preserve"> </w:t>
      </w:r>
      <w:r w:rsidR="007F5B3F" w:rsidRPr="007F5B3F">
        <w:rPr>
          <w:rFonts w:ascii="Trebuchet MS" w:hAnsi="Trebuchet MS"/>
          <w:color w:val="3F3F3F"/>
          <w:sz w:val="24"/>
          <w:szCs w:val="24"/>
        </w:rPr>
        <w:t>is</w:t>
      </w:r>
      <w:r w:rsidR="007F5B3F">
        <w:rPr>
          <w:rFonts w:ascii="Trebuchet MS" w:hAnsi="Trebuchet MS"/>
          <w:color w:val="3F3F3F"/>
          <w:sz w:val="21"/>
          <w:szCs w:val="21"/>
        </w:rPr>
        <w:t xml:space="preserve"> </w:t>
      </w:r>
      <w:r w:rsidRPr="00467EC1">
        <w:rPr>
          <w:rFonts w:ascii="Trebuchet MS" w:hAnsi="Trebuchet MS" w:cs="ArialMT"/>
          <w:color w:val="000000"/>
          <w:sz w:val="24"/>
          <w:szCs w:val="24"/>
        </w:rPr>
        <w:t>planning a</w:t>
      </w:r>
      <w:r w:rsidR="007F5B3F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Pr="00467EC1">
        <w:rPr>
          <w:rFonts w:ascii="Trebuchet MS" w:hAnsi="Trebuchet MS" w:cs="ArialMT"/>
          <w:color w:val="000000"/>
          <w:sz w:val="24"/>
          <w:szCs w:val="24"/>
        </w:rPr>
        <w:t>clinical trial to test the safety</w:t>
      </w:r>
      <w:r w:rsidR="00A04428">
        <w:rPr>
          <w:rFonts w:ascii="Trebuchet MS" w:hAnsi="Trebuchet MS" w:cs="ArialMT"/>
          <w:color w:val="000000"/>
          <w:sz w:val="24"/>
          <w:szCs w:val="24"/>
        </w:rPr>
        <w:t>/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efficacy of Guaiacol </w:t>
      </w:r>
      <w:r w:rsidR="00AE3519">
        <w:rPr>
          <w:rFonts w:ascii="Trebuchet MS" w:hAnsi="Trebuchet MS" w:cs="ArialMT"/>
          <w:color w:val="000000"/>
          <w:sz w:val="24"/>
          <w:szCs w:val="24"/>
        </w:rPr>
        <w:t xml:space="preserve">for </w:t>
      </w:r>
      <w:r w:rsidRPr="00467EC1">
        <w:rPr>
          <w:rFonts w:ascii="Trebuchet MS" w:hAnsi="Trebuchet MS" w:cs="ArialMT"/>
          <w:color w:val="000000"/>
          <w:sz w:val="24"/>
          <w:szCs w:val="24"/>
        </w:rPr>
        <w:t>APBD patients in the United</w:t>
      </w:r>
      <w:r w:rsidR="00250FFC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Pr="00467EC1">
        <w:rPr>
          <w:rFonts w:ascii="Trebuchet MS" w:hAnsi="Trebuchet MS" w:cs="ArialMT"/>
          <w:color w:val="000000"/>
          <w:sz w:val="24"/>
          <w:szCs w:val="24"/>
        </w:rPr>
        <w:t>States</w:t>
      </w:r>
      <w:r w:rsidR="007F5B3F">
        <w:rPr>
          <w:rFonts w:ascii="Trebuchet MS" w:hAnsi="Trebuchet MS" w:cs="ArialMT"/>
          <w:color w:val="000000"/>
          <w:sz w:val="24"/>
          <w:szCs w:val="24"/>
        </w:rPr>
        <w:t>;</w:t>
      </w:r>
      <w:r w:rsidR="007F5B3F" w:rsidRPr="007F5B3F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7F5B3F">
        <w:rPr>
          <w:rFonts w:ascii="Trebuchet MS" w:hAnsi="Trebuchet MS" w:cs="ArialMT"/>
          <w:color w:val="000000"/>
          <w:sz w:val="24"/>
          <w:szCs w:val="24"/>
        </w:rPr>
        <w:t>a</w:t>
      </w:r>
      <w:r w:rsidR="007F5B3F" w:rsidRPr="00467EC1">
        <w:rPr>
          <w:rFonts w:ascii="Trebuchet MS" w:hAnsi="Trebuchet MS" w:cs="ArialMT"/>
          <w:color w:val="000000"/>
          <w:sz w:val="24"/>
          <w:szCs w:val="24"/>
        </w:rPr>
        <w:t xml:space="preserve"> similar trial will </w:t>
      </w:r>
      <w:r w:rsidR="007F5B3F">
        <w:rPr>
          <w:rFonts w:ascii="Trebuchet MS" w:hAnsi="Trebuchet MS" w:cs="ArialMT"/>
          <w:color w:val="000000"/>
          <w:sz w:val="24"/>
          <w:szCs w:val="24"/>
        </w:rPr>
        <w:t xml:space="preserve">first take place </w:t>
      </w:r>
      <w:r w:rsidR="007F5B3F" w:rsidRPr="00467EC1">
        <w:rPr>
          <w:rFonts w:ascii="Trebuchet MS" w:hAnsi="Trebuchet MS" w:cs="ArialMT"/>
          <w:color w:val="000000"/>
          <w:sz w:val="24"/>
          <w:szCs w:val="24"/>
        </w:rPr>
        <w:t>in Israel.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3214A7">
        <w:rPr>
          <w:rFonts w:ascii="Trebuchet MS" w:hAnsi="Trebuchet MS" w:cs="ArialMT"/>
          <w:color w:val="000000"/>
          <w:sz w:val="24"/>
          <w:szCs w:val="24"/>
        </w:rPr>
        <w:t xml:space="preserve">Also, </w:t>
      </w:r>
      <w:r w:rsidR="00AE3519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BD15C1">
        <w:rPr>
          <w:rFonts w:ascii="Trebuchet MS" w:hAnsi="Trebuchet MS" w:cs="ArialMT"/>
          <w:color w:val="000000"/>
          <w:sz w:val="24"/>
          <w:szCs w:val="24"/>
        </w:rPr>
        <w:t>APBDRF</w:t>
      </w:r>
      <w:r w:rsidR="00AE3519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7F7D85">
        <w:rPr>
          <w:rFonts w:ascii="Trebuchet MS" w:hAnsi="Trebuchet MS" w:cs="ArialMT"/>
          <w:color w:val="000000"/>
          <w:sz w:val="24"/>
          <w:szCs w:val="24"/>
        </w:rPr>
        <w:t xml:space="preserve">has other research projects </w:t>
      </w:r>
      <w:r w:rsidR="008D221F">
        <w:rPr>
          <w:rFonts w:ascii="Trebuchet MS" w:hAnsi="Trebuchet MS" w:cs="ArialMT"/>
          <w:color w:val="000000"/>
          <w:sz w:val="24"/>
          <w:szCs w:val="24"/>
        </w:rPr>
        <w:t>at</w:t>
      </w:r>
      <w:r w:rsidR="007F7D85">
        <w:rPr>
          <w:rFonts w:ascii="Trebuchet MS" w:hAnsi="Trebuchet MS" w:cs="ArialMT"/>
          <w:color w:val="000000"/>
          <w:sz w:val="24"/>
          <w:szCs w:val="24"/>
        </w:rPr>
        <w:t xml:space="preserve"> various stages of development.</w:t>
      </w:r>
      <w:r w:rsidR="00131B50">
        <w:rPr>
          <w:rStyle w:val="FootnoteReference"/>
          <w:rFonts w:ascii="Trebuchet MS" w:hAnsi="Trebuchet MS" w:cs="ArialMT"/>
          <w:color w:val="000000"/>
          <w:sz w:val="24"/>
          <w:szCs w:val="24"/>
        </w:rPr>
        <w:footnoteReference w:id="1"/>
      </w:r>
      <w:r w:rsidR="00A0442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At </w:t>
      </w:r>
      <w:r w:rsidR="007B6359">
        <w:rPr>
          <w:rFonts w:ascii="Trebuchet MS" w:hAnsi="Trebuchet MS" w:cs="ArialMT"/>
          <w:color w:val="000000"/>
          <w:sz w:val="24"/>
          <w:szCs w:val="24"/>
        </w:rPr>
        <w:t>last count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, </w:t>
      </w:r>
      <w:r w:rsidR="008D221F">
        <w:rPr>
          <w:rFonts w:ascii="Trebuchet MS" w:hAnsi="Trebuchet MS" w:cs="ArialMT"/>
          <w:color w:val="000000"/>
          <w:sz w:val="24"/>
          <w:szCs w:val="24"/>
        </w:rPr>
        <w:t>the</w:t>
      </w:r>
      <w:r w:rsidR="002C6BBD">
        <w:rPr>
          <w:rFonts w:ascii="Trebuchet MS" w:hAnsi="Trebuchet MS" w:cs="ArialMT"/>
          <w:color w:val="000000"/>
          <w:sz w:val="24"/>
          <w:szCs w:val="24"/>
        </w:rPr>
        <w:t xml:space="preserve"> APBD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 registry ha</w:t>
      </w:r>
      <w:r w:rsidR="00F679B9">
        <w:rPr>
          <w:rFonts w:ascii="Trebuchet MS" w:hAnsi="Trebuchet MS" w:cs="ArialMT"/>
          <w:color w:val="000000"/>
          <w:sz w:val="24"/>
          <w:szCs w:val="24"/>
        </w:rPr>
        <w:t>s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F258AC">
        <w:rPr>
          <w:rFonts w:ascii="Trebuchet MS" w:hAnsi="Trebuchet MS" w:cs="ArialMT"/>
          <w:color w:val="000000"/>
          <w:sz w:val="24"/>
          <w:szCs w:val="24"/>
        </w:rPr>
        <w:t>1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00 people to draw upon </w:t>
      </w:r>
      <w:r w:rsidR="0036071E">
        <w:rPr>
          <w:rFonts w:ascii="Trebuchet MS" w:hAnsi="Trebuchet MS" w:cs="ArialMT"/>
          <w:color w:val="000000"/>
          <w:sz w:val="24"/>
          <w:szCs w:val="24"/>
        </w:rPr>
        <w:t xml:space="preserve">for </w:t>
      </w:r>
      <w:r w:rsidRPr="00467EC1">
        <w:rPr>
          <w:rFonts w:ascii="Trebuchet MS" w:hAnsi="Trebuchet MS" w:cs="ArialMT"/>
          <w:color w:val="000000"/>
          <w:sz w:val="24"/>
          <w:szCs w:val="24"/>
        </w:rPr>
        <w:t>such clinical trial</w:t>
      </w:r>
      <w:r w:rsidR="007F5B3F">
        <w:rPr>
          <w:rFonts w:ascii="Trebuchet MS" w:hAnsi="Trebuchet MS" w:cs="ArialMT"/>
          <w:color w:val="000000"/>
          <w:sz w:val="24"/>
          <w:szCs w:val="24"/>
        </w:rPr>
        <w:t>s</w:t>
      </w:r>
      <w:r w:rsidRPr="00467EC1">
        <w:rPr>
          <w:rFonts w:ascii="Trebuchet MS" w:hAnsi="Trebuchet MS" w:cs="ArialMT"/>
          <w:color w:val="000000"/>
          <w:sz w:val="24"/>
          <w:szCs w:val="24"/>
        </w:rPr>
        <w:t xml:space="preserve">. </w:t>
      </w:r>
    </w:p>
    <w:p w14:paraId="0D8F161D" w14:textId="77777777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0A4E92E" w14:textId="4EC5D600" w:rsidR="00696EF0" w:rsidRDefault="00432B31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T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he </w:t>
      </w:r>
      <w:r w:rsidR="008F5896">
        <w:rPr>
          <w:rFonts w:ascii="Trebuchet MS" w:hAnsi="Trebuchet MS" w:cs="ArialMT"/>
          <w:color w:val="000000"/>
          <w:sz w:val="24"/>
          <w:szCs w:val="24"/>
        </w:rPr>
        <w:t xml:space="preserve">FDA </w:t>
      </w:r>
      <w:r w:rsidR="004576B8">
        <w:rPr>
          <w:rFonts w:ascii="Trebuchet MS" w:hAnsi="Trebuchet MS" w:cs="ArialMT"/>
          <w:color w:val="000000"/>
          <w:sz w:val="24"/>
          <w:szCs w:val="24"/>
        </w:rPr>
        <w:t>concurred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36071E">
        <w:rPr>
          <w:rFonts w:ascii="Trebuchet MS" w:hAnsi="Trebuchet MS" w:cs="ArialMT"/>
          <w:color w:val="000000"/>
          <w:sz w:val="24"/>
          <w:szCs w:val="24"/>
        </w:rPr>
        <w:t>with</w:t>
      </w:r>
      <w:r w:rsidR="002C6BBD">
        <w:rPr>
          <w:rFonts w:ascii="Trebuchet MS" w:hAnsi="Trebuchet MS" w:cs="ArialMT"/>
          <w:color w:val="000000"/>
          <w:sz w:val="24"/>
          <w:szCs w:val="24"/>
        </w:rPr>
        <w:t xml:space="preserve"> the Metabolic Institute of Dallas</w:t>
      </w:r>
      <w:r w:rsidR="00BB5B59">
        <w:rPr>
          <w:rFonts w:ascii="Trebuchet MS" w:hAnsi="Trebuchet MS" w:cs="ArialMT"/>
          <w:color w:val="000000"/>
          <w:sz w:val="24"/>
          <w:szCs w:val="24"/>
        </w:rPr>
        <w:t>’s</w:t>
      </w:r>
      <w:r w:rsidR="002C6BBD">
        <w:rPr>
          <w:rFonts w:ascii="Trebuchet MS" w:hAnsi="Trebuchet MS" w:cs="ArialMT"/>
          <w:color w:val="000000"/>
          <w:sz w:val="24"/>
          <w:szCs w:val="24"/>
        </w:rPr>
        <w:t xml:space="preserve"> us</w:t>
      </w:r>
      <w:r w:rsidR="00124895">
        <w:rPr>
          <w:rFonts w:ascii="Trebuchet MS" w:hAnsi="Trebuchet MS" w:cs="ArialMT"/>
          <w:color w:val="000000"/>
          <w:sz w:val="24"/>
          <w:szCs w:val="24"/>
        </w:rPr>
        <w:t>e</w:t>
      </w:r>
      <w:r w:rsidR="002C6BBD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B5B59">
        <w:rPr>
          <w:rFonts w:ascii="Trebuchet MS" w:hAnsi="Trebuchet MS" w:cs="ArialMT"/>
          <w:color w:val="000000"/>
          <w:sz w:val="24"/>
          <w:szCs w:val="24"/>
        </w:rPr>
        <w:t xml:space="preserve">of </w:t>
      </w:r>
      <w:r w:rsidR="002C6BBD">
        <w:rPr>
          <w:rFonts w:ascii="Trebuchet MS" w:hAnsi="Trebuchet MS" w:cs="ArialMT"/>
          <w:color w:val="000000"/>
          <w:sz w:val="24"/>
          <w:szCs w:val="24"/>
        </w:rPr>
        <w:t xml:space="preserve">the Crossover design </w:t>
      </w:r>
      <w:r w:rsidR="0036071E">
        <w:rPr>
          <w:rFonts w:ascii="Trebuchet MS" w:hAnsi="Trebuchet MS" w:cs="ArialMT"/>
          <w:color w:val="000000"/>
          <w:sz w:val="24"/>
          <w:szCs w:val="24"/>
        </w:rPr>
        <w:t>in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013E43">
        <w:rPr>
          <w:rFonts w:ascii="Trebuchet MS" w:hAnsi="Trebuchet MS" w:cs="ArialMT"/>
          <w:color w:val="000000"/>
          <w:sz w:val="24"/>
          <w:szCs w:val="24"/>
        </w:rPr>
        <w:t>its</w:t>
      </w:r>
      <w:r w:rsidR="00185A02">
        <w:rPr>
          <w:rFonts w:ascii="Trebuchet MS" w:hAnsi="Trebuchet MS" w:cs="ArialMT"/>
          <w:color w:val="000000"/>
          <w:sz w:val="24"/>
          <w:szCs w:val="24"/>
        </w:rPr>
        <w:t xml:space="preserve"> Triheptanoin Phase 2 </w:t>
      </w:r>
      <w:r>
        <w:rPr>
          <w:rFonts w:ascii="Trebuchet MS" w:hAnsi="Trebuchet MS" w:cs="ArialMT"/>
          <w:color w:val="000000"/>
          <w:sz w:val="24"/>
          <w:szCs w:val="24"/>
        </w:rPr>
        <w:t xml:space="preserve">clinical trial </w:t>
      </w:r>
      <w:r w:rsidR="00185A02">
        <w:rPr>
          <w:rFonts w:ascii="Trebuchet MS" w:hAnsi="Trebuchet MS" w:cs="ArialMT"/>
          <w:color w:val="000000"/>
          <w:sz w:val="24"/>
          <w:szCs w:val="24"/>
        </w:rPr>
        <w:t>for APBD</w:t>
      </w:r>
      <w:r w:rsidR="00CE6FF2">
        <w:rPr>
          <w:rFonts w:ascii="Trebuchet MS" w:hAnsi="Trebuchet MS" w:cs="ArialMT"/>
          <w:color w:val="000000"/>
          <w:sz w:val="24"/>
          <w:szCs w:val="24"/>
        </w:rPr>
        <w:t>,</w:t>
      </w:r>
      <w:r w:rsidR="00BD15C1">
        <w:rPr>
          <w:rFonts w:ascii="Trebuchet MS" w:hAnsi="Trebuchet MS" w:cs="ArialMT"/>
          <w:color w:val="000000"/>
          <w:sz w:val="24"/>
          <w:szCs w:val="24"/>
        </w:rPr>
        <w:t xml:space="preserve"> completed in </w:t>
      </w:r>
      <w:r w:rsidR="002C6BBD">
        <w:rPr>
          <w:rFonts w:ascii="Trebuchet MS" w:hAnsi="Trebuchet MS" w:cs="ArialMT"/>
          <w:color w:val="000000"/>
          <w:sz w:val="24"/>
          <w:szCs w:val="24"/>
        </w:rPr>
        <w:t>201</w:t>
      </w:r>
      <w:r w:rsidR="00D24B6A">
        <w:rPr>
          <w:rFonts w:ascii="Trebuchet MS" w:hAnsi="Trebuchet MS" w:cs="ArialMT"/>
          <w:color w:val="000000"/>
          <w:sz w:val="24"/>
          <w:szCs w:val="24"/>
        </w:rPr>
        <w:t>5</w:t>
      </w:r>
      <w:r w:rsidR="002C6BBD">
        <w:rPr>
          <w:rFonts w:ascii="Trebuchet MS" w:hAnsi="Trebuchet MS" w:cs="ArialMT"/>
          <w:color w:val="000000"/>
          <w:sz w:val="24"/>
          <w:szCs w:val="24"/>
        </w:rPr>
        <w:t>.</w:t>
      </w:r>
      <w:r w:rsidR="008F5896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By definition, </w:t>
      </w:r>
      <w:r w:rsidR="00D31418">
        <w:rPr>
          <w:rFonts w:ascii="Trebuchet MS" w:hAnsi="Trebuchet MS" w:cs="ArialMT"/>
          <w:color w:val="000000"/>
          <w:sz w:val="24"/>
          <w:szCs w:val="24"/>
        </w:rPr>
        <w:t>t</w:t>
      </w:r>
      <w:r w:rsidR="006E1508">
        <w:rPr>
          <w:rFonts w:ascii="Trebuchet MS" w:hAnsi="Trebuchet MS" w:cs="ArialMT"/>
          <w:color w:val="000000"/>
          <w:sz w:val="24"/>
          <w:szCs w:val="24"/>
        </w:rPr>
        <w:t xml:space="preserve">he Crossover design for a clinical trial assigns APBD participants to a control group at one time and to a treatment group at another time. </w:t>
      </w:r>
      <w:r w:rsidR="004576B8">
        <w:rPr>
          <w:rFonts w:ascii="Trebuchet MS" w:hAnsi="Trebuchet MS" w:cs="ArialMT"/>
          <w:color w:val="000000"/>
          <w:sz w:val="24"/>
          <w:szCs w:val="24"/>
        </w:rPr>
        <w:t>As a result, the</w:t>
      </w:r>
      <w:r w:rsidR="00CE6FF2">
        <w:rPr>
          <w:rFonts w:ascii="Trebuchet MS" w:hAnsi="Trebuchet MS" w:cs="ArialMT"/>
          <w:color w:val="000000"/>
          <w:sz w:val="24"/>
          <w:szCs w:val="24"/>
        </w:rPr>
        <w:t xml:space="preserve"> c</w:t>
      </w:r>
      <w:r w:rsidR="008F5896">
        <w:rPr>
          <w:rFonts w:ascii="Trebuchet MS" w:hAnsi="Trebuchet MS" w:cs="ArialMT"/>
          <w:color w:val="000000"/>
          <w:sz w:val="24"/>
          <w:szCs w:val="24"/>
        </w:rPr>
        <w:t>ompari</w:t>
      </w:r>
      <w:r w:rsidR="004576B8">
        <w:rPr>
          <w:rFonts w:ascii="Trebuchet MS" w:hAnsi="Trebuchet MS" w:cs="ArialMT"/>
          <w:color w:val="000000"/>
          <w:sz w:val="24"/>
          <w:szCs w:val="24"/>
        </w:rPr>
        <w:t>son of participants</w:t>
      </w:r>
      <w:r w:rsidR="00F77768">
        <w:rPr>
          <w:rFonts w:ascii="Trebuchet MS" w:hAnsi="Trebuchet MS" w:cs="ArialMT"/>
          <w:color w:val="000000"/>
          <w:sz w:val="24"/>
          <w:szCs w:val="24"/>
        </w:rPr>
        <w:t xml:space="preserve"> against </w:t>
      </w:r>
      <w:r w:rsidR="00BC41E3">
        <w:rPr>
          <w:rFonts w:ascii="Trebuchet MS" w:hAnsi="Trebuchet MS" w:cs="ArialMT"/>
          <w:color w:val="000000"/>
          <w:sz w:val="24"/>
          <w:szCs w:val="24"/>
        </w:rPr>
        <w:t>themselves</w:t>
      </w:r>
      <w:r w:rsidR="00D3141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434777">
        <w:rPr>
          <w:rFonts w:ascii="Trebuchet MS" w:hAnsi="Trebuchet MS" w:cs="ArialMT"/>
          <w:color w:val="000000"/>
          <w:sz w:val="24"/>
          <w:szCs w:val="24"/>
        </w:rPr>
        <w:t>precludes</w:t>
      </w:r>
      <w:r w:rsidR="00BC41E3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C41E3" w:rsidRPr="004576B8">
        <w:rPr>
          <w:rFonts w:ascii="Trebuchet MS" w:hAnsi="Trebuchet MS" w:cs="ArialMT"/>
          <w:i/>
          <w:color w:val="000000"/>
          <w:sz w:val="24"/>
          <w:szCs w:val="24"/>
        </w:rPr>
        <w:t>intra</w:t>
      </w:r>
      <w:r w:rsidR="00BC41E3">
        <w:rPr>
          <w:rFonts w:ascii="Trebuchet MS" w:hAnsi="Trebuchet MS" w:cs="ArialMT"/>
          <w:color w:val="000000"/>
          <w:sz w:val="24"/>
          <w:szCs w:val="24"/>
        </w:rPr>
        <w:t>-patient</w:t>
      </w:r>
      <w:r w:rsidR="00F7776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015311">
        <w:rPr>
          <w:rFonts w:ascii="Trebuchet MS" w:hAnsi="Trebuchet MS" w:cs="ArialMT"/>
          <w:color w:val="000000"/>
          <w:sz w:val="24"/>
          <w:szCs w:val="24"/>
        </w:rPr>
        <w:t>h</w:t>
      </w:r>
      <w:r w:rsidR="00F77768">
        <w:rPr>
          <w:rFonts w:ascii="Trebuchet MS" w:hAnsi="Trebuchet MS" w:cs="ArialMT"/>
          <w:color w:val="000000"/>
          <w:sz w:val="24"/>
          <w:szCs w:val="24"/>
        </w:rPr>
        <w:t xml:space="preserve">eterogeneity </w:t>
      </w:r>
      <w:r w:rsidR="001A2305">
        <w:rPr>
          <w:rFonts w:ascii="Trebuchet MS" w:hAnsi="Trebuchet MS" w:cs="ArialMT"/>
          <w:color w:val="000000"/>
          <w:sz w:val="24"/>
          <w:szCs w:val="24"/>
        </w:rPr>
        <w:t xml:space="preserve">in </w:t>
      </w:r>
      <w:r w:rsidR="00D31418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963121">
        <w:rPr>
          <w:rFonts w:ascii="Trebuchet MS" w:hAnsi="Trebuchet MS" w:cs="ArialMT"/>
          <w:color w:val="000000"/>
          <w:sz w:val="24"/>
          <w:szCs w:val="24"/>
        </w:rPr>
        <w:t>clinical trial</w:t>
      </w:r>
      <w:r w:rsidR="00F77768">
        <w:rPr>
          <w:rFonts w:ascii="Trebuchet MS" w:hAnsi="Trebuchet MS" w:cs="ArialMT"/>
          <w:color w:val="000000"/>
          <w:sz w:val="24"/>
          <w:szCs w:val="24"/>
        </w:rPr>
        <w:t>.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D03847">
        <w:rPr>
          <w:rFonts w:ascii="Trebuchet MS" w:hAnsi="Trebuchet MS" w:cs="ArialMT"/>
          <w:color w:val="000000"/>
          <w:sz w:val="24"/>
          <w:szCs w:val="24"/>
        </w:rPr>
        <w:t>But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 the Crossover design does not solve the problem of </w:t>
      </w:r>
      <w:r w:rsidR="004576B8" w:rsidRPr="004576B8">
        <w:rPr>
          <w:rFonts w:ascii="Trebuchet MS" w:hAnsi="Trebuchet MS" w:cs="ArialMT"/>
          <w:i/>
          <w:color w:val="000000"/>
          <w:sz w:val="24"/>
          <w:szCs w:val="24"/>
        </w:rPr>
        <w:t>inter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-patient heterogeneity or </w:t>
      </w:r>
      <w:r w:rsidR="00BB5B59">
        <w:rPr>
          <w:rFonts w:ascii="Trebuchet MS" w:hAnsi="Trebuchet MS" w:cs="ArialMT"/>
          <w:color w:val="000000"/>
          <w:sz w:val="24"/>
          <w:szCs w:val="24"/>
        </w:rPr>
        <w:t xml:space="preserve">extreme </w:t>
      </w:r>
      <w:r w:rsidR="004576B8">
        <w:rPr>
          <w:rFonts w:ascii="Trebuchet MS" w:hAnsi="Trebuchet MS" w:cs="ArialMT"/>
          <w:color w:val="000000"/>
          <w:sz w:val="24"/>
          <w:szCs w:val="24"/>
        </w:rPr>
        <w:t>variability across patients.</w:t>
      </w:r>
      <w:r w:rsidR="00F77768">
        <w:rPr>
          <w:rStyle w:val="FootnoteReference"/>
          <w:rFonts w:ascii="Trebuchet MS" w:hAnsi="Trebuchet MS" w:cs="ArialMT"/>
          <w:color w:val="000000"/>
          <w:sz w:val="24"/>
          <w:szCs w:val="24"/>
        </w:rPr>
        <w:footnoteReference w:id="2"/>
      </w:r>
      <w:r w:rsidR="008F5896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73983CB8" w14:textId="77777777" w:rsidR="00696EF0" w:rsidRDefault="00696EF0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E26E71D" w14:textId="0C1C280E" w:rsidR="00BD7B5B" w:rsidRDefault="00196CB1" w:rsidP="00696EF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Currently,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C53A26">
        <w:rPr>
          <w:rFonts w:ascii="Trebuchet MS" w:hAnsi="Trebuchet MS" w:cs="ArialMT"/>
          <w:color w:val="000000"/>
          <w:sz w:val="24"/>
          <w:szCs w:val="24"/>
        </w:rPr>
        <w:t>a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Crossover design </w:t>
      </w:r>
      <w:r w:rsidR="00C53A26">
        <w:rPr>
          <w:rFonts w:ascii="Trebuchet MS" w:hAnsi="Trebuchet MS" w:cs="ArialMT"/>
          <w:color w:val="000000"/>
          <w:sz w:val="24"/>
          <w:szCs w:val="24"/>
        </w:rPr>
        <w:t xml:space="preserve">for a clinical trial </w:t>
      </w:r>
      <w:r>
        <w:rPr>
          <w:rFonts w:ascii="Trebuchet MS" w:hAnsi="Trebuchet MS" w:cs="ArialMT"/>
          <w:color w:val="000000"/>
          <w:sz w:val="24"/>
          <w:szCs w:val="24"/>
        </w:rPr>
        <w:t>is “locked in” once it has begun. That is,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>
        <w:rPr>
          <w:rFonts w:ascii="Trebuchet MS" w:hAnsi="Trebuchet MS" w:cs="ArialMT"/>
          <w:color w:val="000000"/>
          <w:sz w:val="24"/>
          <w:szCs w:val="24"/>
        </w:rPr>
        <w:t>o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nce </w:t>
      </w:r>
      <w:r w:rsidR="00273BD2">
        <w:rPr>
          <w:rFonts w:ascii="Trebuchet MS" w:hAnsi="Trebuchet MS" w:cs="ArialMT"/>
          <w:color w:val="000000"/>
          <w:sz w:val="24"/>
          <w:szCs w:val="24"/>
        </w:rPr>
        <w:t>the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endpoints</w:t>
      </w:r>
      <w:r w:rsidR="00432B31">
        <w:rPr>
          <w:rFonts w:ascii="Trebuchet MS" w:hAnsi="Trebuchet MS" w:cs="ArialMT"/>
          <w:color w:val="000000"/>
          <w:sz w:val="24"/>
          <w:szCs w:val="24"/>
        </w:rPr>
        <w:t>,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protocol </w:t>
      </w:r>
      <w:r w:rsidR="00432B31">
        <w:rPr>
          <w:rFonts w:ascii="Trebuchet MS" w:hAnsi="Trebuchet MS" w:cs="ArialMT"/>
          <w:color w:val="000000"/>
          <w:sz w:val="24"/>
          <w:szCs w:val="24"/>
        </w:rPr>
        <w:t>and other trial f</w:t>
      </w:r>
      <w:r w:rsidR="00F14D50">
        <w:rPr>
          <w:rFonts w:ascii="Trebuchet MS" w:hAnsi="Trebuchet MS" w:cs="ArialMT"/>
          <w:color w:val="000000"/>
          <w:sz w:val="24"/>
          <w:szCs w:val="24"/>
        </w:rPr>
        <w:t>eatures</w:t>
      </w:r>
      <w:r w:rsidR="00432B31">
        <w:rPr>
          <w:rFonts w:ascii="Trebuchet MS" w:hAnsi="Trebuchet MS" w:cs="ArialMT"/>
          <w:color w:val="000000"/>
          <w:sz w:val="24"/>
          <w:szCs w:val="24"/>
        </w:rPr>
        <w:t xml:space="preserve"> are </w:t>
      </w:r>
      <w:r w:rsidR="000F0BD7">
        <w:rPr>
          <w:rFonts w:ascii="Trebuchet MS" w:hAnsi="Trebuchet MS" w:cs="ArialMT"/>
          <w:color w:val="000000"/>
          <w:sz w:val="24"/>
          <w:szCs w:val="24"/>
        </w:rPr>
        <w:t>defined they are held constant</w:t>
      </w:r>
      <w:r w:rsidR="00A5587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0F0BD7">
        <w:rPr>
          <w:rFonts w:ascii="Trebuchet MS" w:hAnsi="Trebuchet MS" w:cs="ArialMT"/>
          <w:color w:val="000000"/>
          <w:sz w:val="24"/>
          <w:szCs w:val="24"/>
        </w:rPr>
        <w:t xml:space="preserve">throughout the </w:t>
      </w:r>
      <w:r w:rsidR="00F554FD">
        <w:rPr>
          <w:rFonts w:ascii="Trebuchet MS" w:hAnsi="Trebuchet MS" w:cs="ArialMT"/>
          <w:color w:val="000000"/>
          <w:sz w:val="24"/>
          <w:szCs w:val="24"/>
        </w:rPr>
        <w:t xml:space="preserve">entire </w:t>
      </w:r>
      <w:r w:rsidR="000C54F2">
        <w:rPr>
          <w:rFonts w:ascii="Trebuchet MS" w:hAnsi="Trebuchet MS" w:cs="ArialMT"/>
          <w:color w:val="000000"/>
          <w:sz w:val="24"/>
          <w:szCs w:val="24"/>
        </w:rPr>
        <w:t xml:space="preserve">conduct of the </w:t>
      </w:r>
      <w:r w:rsidR="00166B02">
        <w:rPr>
          <w:rFonts w:ascii="Trebuchet MS" w:hAnsi="Trebuchet MS" w:cs="ArialMT"/>
          <w:color w:val="000000"/>
          <w:sz w:val="24"/>
          <w:szCs w:val="24"/>
        </w:rPr>
        <w:t xml:space="preserve">clinical trial. 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="00D07BF6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F05EA7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0091275D" w14:textId="77777777" w:rsidR="00BD7B5B" w:rsidRDefault="00BD7B5B" w:rsidP="00696EF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191A4F2A" w14:textId="1514D14B" w:rsidR="004268F3" w:rsidRPr="00F05EA7" w:rsidRDefault="00166B02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I</w:t>
      </w:r>
      <w:r w:rsidR="00196CB1">
        <w:rPr>
          <w:rFonts w:ascii="Trebuchet MS" w:hAnsi="Trebuchet MS" w:cs="ArialMT"/>
          <w:color w:val="000000"/>
          <w:sz w:val="24"/>
          <w:szCs w:val="24"/>
        </w:rPr>
        <w:t>n 2010</w:t>
      </w:r>
      <w:r w:rsidR="002302ED">
        <w:rPr>
          <w:rFonts w:ascii="Trebuchet MS" w:hAnsi="Trebuchet MS" w:cs="ArialMT"/>
          <w:color w:val="000000"/>
          <w:sz w:val="24"/>
          <w:szCs w:val="24"/>
        </w:rPr>
        <w:t>,</w:t>
      </w:r>
      <w:r w:rsidR="00196CB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A5587B">
        <w:rPr>
          <w:rFonts w:ascii="Trebuchet MS" w:hAnsi="Trebuchet MS" w:cs="ArialMT"/>
          <w:color w:val="000000"/>
          <w:sz w:val="24"/>
          <w:szCs w:val="24"/>
        </w:rPr>
        <w:t>the FDA</w:t>
      </w:r>
      <w:r w:rsidR="006357D0">
        <w:rPr>
          <w:rFonts w:ascii="Trebuchet MS" w:hAnsi="Trebuchet MS" w:cs="ArialMT"/>
          <w:color w:val="000000"/>
          <w:sz w:val="24"/>
          <w:szCs w:val="24"/>
        </w:rPr>
        <w:t xml:space="preserve"> considered 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adding </w:t>
      </w:r>
      <w:r w:rsidR="00196CB1">
        <w:rPr>
          <w:rFonts w:ascii="Trebuchet MS" w:hAnsi="Trebuchet MS" w:cs="ArialMT"/>
          <w:color w:val="000000"/>
          <w:sz w:val="24"/>
          <w:szCs w:val="24"/>
        </w:rPr>
        <w:t xml:space="preserve">an adaptive </w:t>
      </w:r>
      <w:r w:rsidR="00530589">
        <w:rPr>
          <w:rFonts w:ascii="Trebuchet MS" w:hAnsi="Trebuchet MS" w:cs="ArialMT"/>
          <w:color w:val="000000"/>
          <w:sz w:val="24"/>
          <w:szCs w:val="24"/>
        </w:rPr>
        <w:t>feature</w:t>
      </w:r>
      <w:r w:rsidR="00196CB1">
        <w:rPr>
          <w:rFonts w:ascii="Trebuchet MS" w:hAnsi="Trebuchet MS" w:cs="ArialMT"/>
          <w:color w:val="000000"/>
          <w:sz w:val="24"/>
          <w:szCs w:val="24"/>
        </w:rPr>
        <w:t xml:space="preserve"> to </w:t>
      </w:r>
      <w:r w:rsidR="00F77768">
        <w:rPr>
          <w:rFonts w:ascii="Trebuchet MS" w:hAnsi="Trebuchet MS" w:cs="ArialMT"/>
          <w:color w:val="000000"/>
          <w:sz w:val="24"/>
          <w:szCs w:val="24"/>
        </w:rPr>
        <w:t>the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design of </w:t>
      </w:r>
      <w:r w:rsidR="00F77768">
        <w:rPr>
          <w:rFonts w:ascii="Trebuchet MS" w:hAnsi="Trebuchet MS" w:cs="ArialMT"/>
          <w:color w:val="000000"/>
          <w:sz w:val="24"/>
          <w:szCs w:val="24"/>
        </w:rPr>
        <w:t xml:space="preserve">a </w:t>
      </w:r>
      <w:r w:rsidR="00196CB1">
        <w:rPr>
          <w:rFonts w:ascii="Trebuchet MS" w:hAnsi="Trebuchet MS" w:cs="ArialMT"/>
          <w:color w:val="000000"/>
          <w:sz w:val="24"/>
          <w:szCs w:val="24"/>
        </w:rPr>
        <w:t>clinical trial</w:t>
      </w:r>
      <w:r w:rsidR="00ED5FEE">
        <w:rPr>
          <w:rFonts w:ascii="Trebuchet MS" w:hAnsi="Trebuchet MS" w:cs="ArialMT"/>
          <w:color w:val="000000"/>
          <w:sz w:val="24"/>
          <w:szCs w:val="24"/>
        </w:rPr>
        <w:t>.</w:t>
      </w:r>
      <w:r w:rsidR="00C53A26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ED5FEE">
        <w:rPr>
          <w:rFonts w:ascii="Trebuchet MS" w:hAnsi="Trebuchet MS" w:cs="ArialMT"/>
          <w:color w:val="000000"/>
          <w:sz w:val="24"/>
          <w:szCs w:val="24"/>
        </w:rPr>
        <w:t xml:space="preserve">That </w:t>
      </w:r>
      <w:r w:rsidR="00BD15C1">
        <w:rPr>
          <w:rFonts w:ascii="Trebuchet MS" w:hAnsi="Trebuchet MS" w:cs="ArialMT"/>
          <w:color w:val="000000"/>
          <w:sz w:val="24"/>
          <w:szCs w:val="24"/>
        </w:rPr>
        <w:t>would</w:t>
      </w:r>
      <w:r w:rsidR="00ED5FEE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allow </w:t>
      </w:r>
      <w:r w:rsidR="00ED5FEE">
        <w:rPr>
          <w:rFonts w:ascii="Trebuchet MS" w:hAnsi="Trebuchet MS" w:cs="ArialMT"/>
          <w:color w:val="000000"/>
          <w:sz w:val="24"/>
          <w:szCs w:val="24"/>
        </w:rPr>
        <w:t>p</w:t>
      </w:r>
      <w:r w:rsidR="00C53A26">
        <w:rPr>
          <w:rFonts w:ascii="Trebuchet MS" w:hAnsi="Trebuchet MS" w:cs="ArialMT"/>
          <w:color w:val="000000"/>
          <w:sz w:val="24"/>
          <w:szCs w:val="24"/>
        </w:rPr>
        <w:t>rospectively planned modifications to one or more aspects of the clinical trial</w:t>
      </w:r>
      <w:r w:rsidR="007D5499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CE6FF2">
        <w:rPr>
          <w:rFonts w:ascii="Trebuchet MS" w:hAnsi="Trebuchet MS" w:cs="ArialMT"/>
          <w:color w:val="000000"/>
          <w:sz w:val="24"/>
          <w:szCs w:val="24"/>
        </w:rPr>
        <w:t xml:space="preserve">as long as </w:t>
      </w:r>
      <w:r w:rsidR="00BD15C1">
        <w:rPr>
          <w:rFonts w:ascii="Trebuchet MS" w:hAnsi="Trebuchet MS" w:cs="ArialMT"/>
          <w:color w:val="000000"/>
          <w:sz w:val="24"/>
          <w:szCs w:val="24"/>
        </w:rPr>
        <w:t>th</w:t>
      </w:r>
      <w:r w:rsidR="00CE6FF2">
        <w:rPr>
          <w:rFonts w:ascii="Trebuchet MS" w:hAnsi="Trebuchet MS" w:cs="ArialMT"/>
          <w:color w:val="000000"/>
          <w:sz w:val="24"/>
          <w:szCs w:val="24"/>
        </w:rPr>
        <w:t>ey</w:t>
      </w:r>
      <w:r w:rsidR="00BD15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D0809">
        <w:rPr>
          <w:rFonts w:ascii="Trebuchet MS" w:hAnsi="Trebuchet MS" w:cs="ArialMT"/>
          <w:color w:val="000000"/>
          <w:sz w:val="24"/>
          <w:szCs w:val="24"/>
        </w:rPr>
        <w:t>are</w:t>
      </w:r>
      <w:r w:rsidR="00BD15C1">
        <w:rPr>
          <w:rFonts w:ascii="Trebuchet MS" w:hAnsi="Trebuchet MS" w:cs="ArialMT"/>
          <w:color w:val="000000"/>
          <w:sz w:val="24"/>
          <w:szCs w:val="24"/>
        </w:rPr>
        <w:t xml:space="preserve"> tied to </w:t>
      </w:r>
      <w:r w:rsidR="00CE6FF2">
        <w:rPr>
          <w:rFonts w:ascii="Trebuchet MS" w:hAnsi="Trebuchet MS" w:cs="ArialMT"/>
          <w:color w:val="000000"/>
          <w:sz w:val="24"/>
          <w:szCs w:val="24"/>
        </w:rPr>
        <w:t xml:space="preserve">the participants’ data at the </w:t>
      </w:r>
      <w:r>
        <w:rPr>
          <w:rFonts w:ascii="Trebuchet MS" w:hAnsi="Trebuchet MS" w:cs="ArialMT"/>
          <w:color w:val="000000"/>
          <w:sz w:val="24"/>
          <w:szCs w:val="24"/>
        </w:rPr>
        <w:t xml:space="preserve">baseline or later </w:t>
      </w:r>
      <w:r w:rsidR="00CE6FF2">
        <w:rPr>
          <w:rFonts w:ascii="Trebuchet MS" w:hAnsi="Trebuchet MS" w:cs="ArialMT"/>
          <w:color w:val="000000"/>
          <w:sz w:val="24"/>
          <w:szCs w:val="24"/>
        </w:rPr>
        <w:t xml:space="preserve">interim </w:t>
      </w:r>
      <w:r w:rsidR="00E92385">
        <w:rPr>
          <w:rFonts w:ascii="Trebuchet MS" w:hAnsi="Trebuchet MS" w:cs="ArialMT"/>
          <w:color w:val="000000"/>
          <w:sz w:val="24"/>
          <w:szCs w:val="24"/>
        </w:rPr>
        <w:t>point</w:t>
      </w:r>
      <w:r>
        <w:rPr>
          <w:rFonts w:ascii="Trebuchet MS" w:hAnsi="Trebuchet MS" w:cs="ArialMT"/>
          <w:color w:val="000000"/>
          <w:sz w:val="24"/>
          <w:szCs w:val="24"/>
        </w:rPr>
        <w:t>s</w:t>
      </w:r>
      <w:r w:rsidR="006D0809">
        <w:rPr>
          <w:rFonts w:ascii="Trebuchet MS" w:hAnsi="Trebuchet MS" w:cs="ArialMT"/>
          <w:color w:val="000000"/>
          <w:sz w:val="24"/>
          <w:szCs w:val="24"/>
        </w:rPr>
        <w:t>.</w:t>
      </w:r>
      <w:r w:rsidR="00E92385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D7B5B">
        <w:rPr>
          <w:rFonts w:ascii="Trebuchet MS" w:hAnsi="Trebuchet MS" w:cs="ArialMT"/>
          <w:color w:val="000000"/>
          <w:sz w:val="24"/>
          <w:szCs w:val="24"/>
        </w:rPr>
        <w:t>The FDA</w:t>
      </w:r>
      <w:r w:rsidR="00F05EA7">
        <w:rPr>
          <w:rFonts w:ascii="Trebuchet MS" w:hAnsi="Trebuchet MS" w:cs="ArialMT"/>
          <w:color w:val="000000"/>
          <w:sz w:val="24"/>
          <w:szCs w:val="24"/>
        </w:rPr>
        <w:t xml:space="preserve"> put out a draft guidance </w:t>
      </w:r>
      <w:r w:rsidR="004C7620">
        <w:rPr>
          <w:rFonts w:ascii="Trebuchet MS" w:hAnsi="Trebuchet MS" w:cs="ArialMT"/>
          <w:color w:val="000000"/>
          <w:sz w:val="24"/>
          <w:szCs w:val="24"/>
        </w:rPr>
        <w:t>o</w:t>
      </w:r>
      <w:r w:rsidR="00F05EA7">
        <w:rPr>
          <w:rFonts w:ascii="Trebuchet MS" w:hAnsi="Trebuchet MS" w:cs="ArialMT"/>
          <w:color w:val="000000"/>
          <w:sz w:val="24"/>
          <w:szCs w:val="24"/>
        </w:rPr>
        <w:t xml:space="preserve">n </w:t>
      </w:r>
      <w:r w:rsidR="003971DF">
        <w:rPr>
          <w:rFonts w:ascii="Trebuchet MS" w:hAnsi="Trebuchet MS" w:cs="ArialMT"/>
          <w:color w:val="000000"/>
          <w:sz w:val="24"/>
          <w:szCs w:val="24"/>
        </w:rPr>
        <w:t xml:space="preserve">such </w:t>
      </w:r>
      <w:r w:rsidR="00F05EA7">
        <w:rPr>
          <w:rFonts w:ascii="Trebuchet MS" w:hAnsi="Trebuchet MS" w:cs="ArialMT"/>
          <w:color w:val="000000"/>
          <w:sz w:val="24"/>
          <w:szCs w:val="24"/>
        </w:rPr>
        <w:t>adaptive clinical trials</w:t>
      </w:r>
      <w:r w:rsidR="004C7620">
        <w:rPr>
          <w:rFonts w:ascii="Trebuchet MS" w:hAnsi="Trebuchet MS" w:cs="ArialMT"/>
          <w:color w:val="000000"/>
          <w:sz w:val="24"/>
          <w:szCs w:val="24"/>
        </w:rPr>
        <w:t xml:space="preserve"> for comment</w:t>
      </w:r>
      <w:r w:rsidR="00C53A26">
        <w:rPr>
          <w:rFonts w:ascii="Trebuchet MS" w:hAnsi="Trebuchet MS" w:cs="ArialMT"/>
          <w:color w:val="000000"/>
          <w:sz w:val="24"/>
          <w:szCs w:val="24"/>
        </w:rPr>
        <w:t>,</w:t>
      </w:r>
      <w:r w:rsidR="00F05EA7">
        <w:rPr>
          <w:rFonts w:ascii="Trebuchet MS" w:hAnsi="Trebuchet MS" w:cs="ArialMT"/>
          <w:color w:val="000000"/>
          <w:sz w:val="24"/>
          <w:szCs w:val="24"/>
        </w:rPr>
        <w:t xml:space="preserve"> entitled “</w:t>
      </w:r>
      <w:r w:rsidR="00F05EA7" w:rsidRPr="00F05EA7">
        <w:rPr>
          <w:rFonts w:ascii="Trebuchet MS" w:hAnsi="Trebuchet MS"/>
          <w:sz w:val="24"/>
          <w:szCs w:val="24"/>
        </w:rPr>
        <w:t>Adaptive Design Clinical Trials for Drugs and Biologics</w:t>
      </w:r>
      <w:r w:rsidR="00BD15C1">
        <w:rPr>
          <w:rFonts w:ascii="Trebuchet MS" w:hAnsi="Trebuchet MS"/>
          <w:sz w:val="24"/>
          <w:szCs w:val="24"/>
        </w:rPr>
        <w:t>,</w:t>
      </w:r>
      <w:r w:rsidR="00F05EA7">
        <w:rPr>
          <w:rFonts w:ascii="Trebuchet MS" w:hAnsi="Trebuchet MS"/>
          <w:sz w:val="24"/>
          <w:szCs w:val="24"/>
        </w:rPr>
        <w:t xml:space="preserve">” </w:t>
      </w:r>
      <w:r w:rsidR="00BD15C1">
        <w:rPr>
          <w:rFonts w:ascii="Trebuchet MS" w:hAnsi="Trebuchet MS"/>
          <w:sz w:val="24"/>
          <w:szCs w:val="24"/>
        </w:rPr>
        <w:t>but it was never made final.</w:t>
      </w:r>
      <w:r w:rsidR="00F05EA7" w:rsidRPr="00F05EA7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359A17EA" w14:textId="77777777" w:rsidR="00F05EA7" w:rsidRPr="00F05EA7" w:rsidRDefault="00F05EA7" w:rsidP="00F05EA7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E384FE3" w14:textId="77777777" w:rsidR="00A666E3" w:rsidRDefault="00185A02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W</w:t>
      </w:r>
      <w:r w:rsidR="002973EF">
        <w:rPr>
          <w:rFonts w:ascii="Trebuchet MS" w:hAnsi="Trebuchet MS" w:cs="ArialMT"/>
          <w:color w:val="000000"/>
          <w:sz w:val="24"/>
          <w:szCs w:val="24"/>
        </w:rPr>
        <w:t xml:space="preserve">ith the </w:t>
      </w:r>
      <w:r w:rsidR="003B7571">
        <w:rPr>
          <w:rFonts w:ascii="Trebuchet MS" w:hAnsi="Trebuchet MS" w:cs="ArialMT"/>
          <w:color w:val="000000"/>
          <w:sz w:val="24"/>
          <w:szCs w:val="24"/>
        </w:rPr>
        <w:t xml:space="preserve">December 2016 </w:t>
      </w:r>
      <w:r w:rsidR="002973EF">
        <w:rPr>
          <w:rFonts w:ascii="Trebuchet MS" w:hAnsi="Trebuchet MS" w:cs="ArialMT"/>
          <w:color w:val="000000"/>
          <w:sz w:val="24"/>
          <w:szCs w:val="24"/>
        </w:rPr>
        <w:t>passage of the Faster Cures 21</w:t>
      </w:r>
      <w:r w:rsidR="002973EF" w:rsidRPr="002973EF">
        <w:rPr>
          <w:rFonts w:ascii="Trebuchet MS" w:hAnsi="Trebuchet MS" w:cs="ArialMT"/>
          <w:color w:val="000000"/>
          <w:sz w:val="24"/>
          <w:szCs w:val="24"/>
          <w:vertAlign w:val="superscript"/>
        </w:rPr>
        <w:t>st</w:t>
      </w:r>
      <w:r w:rsidR="002973EF">
        <w:rPr>
          <w:rFonts w:ascii="Trebuchet MS" w:hAnsi="Trebuchet MS" w:cs="ArialMT"/>
          <w:color w:val="000000"/>
          <w:sz w:val="24"/>
          <w:szCs w:val="24"/>
        </w:rPr>
        <w:t xml:space="preserve"> Century Cures Act</w:t>
      </w:r>
      <w:r w:rsidR="00D82A3E">
        <w:rPr>
          <w:rFonts w:ascii="Trebuchet MS" w:hAnsi="Trebuchet MS" w:cs="ArialMT"/>
          <w:color w:val="000000"/>
          <w:sz w:val="24"/>
          <w:szCs w:val="24"/>
        </w:rPr>
        <w:t>----</w:t>
      </w:r>
      <w:r w:rsidR="003971DF">
        <w:rPr>
          <w:rFonts w:ascii="Trebuchet MS" w:hAnsi="Trebuchet MS" w:cs="ArialMT"/>
          <w:color w:val="000000"/>
          <w:sz w:val="24"/>
          <w:szCs w:val="24"/>
        </w:rPr>
        <w:t>specifically</w:t>
      </w:r>
      <w:r w:rsidR="003B757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2973EF" w:rsidRPr="002973EF">
        <w:rPr>
          <w:rFonts w:ascii="Trebuchet MS" w:hAnsi="Trebuchet MS" w:cs="ArialMT"/>
          <w:color w:val="000000"/>
          <w:sz w:val="24"/>
          <w:szCs w:val="24"/>
        </w:rPr>
        <w:t>S</w:t>
      </w:r>
      <w:r w:rsidR="002973EF" w:rsidRPr="002973EF">
        <w:rPr>
          <w:rFonts w:ascii="Trebuchet MS" w:hAnsi="Trebuchet MS"/>
          <w:sz w:val="24"/>
          <w:szCs w:val="24"/>
        </w:rPr>
        <w:t>ection 3021, Novel Clinical Trial Designs</w:t>
      </w:r>
      <w:r w:rsidR="00D82A3E">
        <w:rPr>
          <w:rFonts w:ascii="Trebuchet MS" w:hAnsi="Trebuchet MS"/>
          <w:sz w:val="24"/>
          <w:szCs w:val="24"/>
        </w:rPr>
        <w:t>---</w:t>
      </w:r>
      <w:r w:rsidR="004C7620">
        <w:rPr>
          <w:rFonts w:ascii="Trebuchet MS" w:hAnsi="Trebuchet MS"/>
          <w:sz w:val="24"/>
          <w:szCs w:val="24"/>
        </w:rPr>
        <w:t>the FDA has turned</w:t>
      </w:r>
      <w:r w:rsidR="00A34AE3">
        <w:rPr>
          <w:rFonts w:ascii="Trebuchet MS" w:hAnsi="Trebuchet MS"/>
          <w:sz w:val="24"/>
          <w:szCs w:val="24"/>
        </w:rPr>
        <w:t xml:space="preserve"> </w:t>
      </w:r>
      <w:r w:rsidR="00CE6FF2">
        <w:rPr>
          <w:rFonts w:ascii="Trebuchet MS" w:hAnsi="Trebuchet MS"/>
          <w:sz w:val="24"/>
          <w:szCs w:val="24"/>
        </w:rPr>
        <w:t xml:space="preserve">once again </w:t>
      </w:r>
      <w:r w:rsidR="004C7620">
        <w:rPr>
          <w:rFonts w:ascii="Trebuchet MS" w:hAnsi="Trebuchet MS"/>
          <w:sz w:val="24"/>
          <w:szCs w:val="24"/>
        </w:rPr>
        <w:t xml:space="preserve">to </w:t>
      </w:r>
      <w:r>
        <w:rPr>
          <w:rFonts w:ascii="Trebuchet MS" w:hAnsi="Trebuchet MS"/>
          <w:sz w:val="24"/>
          <w:szCs w:val="24"/>
        </w:rPr>
        <w:t xml:space="preserve">the </w:t>
      </w:r>
      <w:r w:rsidR="004C7620">
        <w:rPr>
          <w:rFonts w:ascii="Trebuchet MS" w:hAnsi="Trebuchet MS"/>
          <w:sz w:val="24"/>
          <w:szCs w:val="24"/>
        </w:rPr>
        <w:t xml:space="preserve">adaptive </w:t>
      </w:r>
      <w:r w:rsidR="007B6359">
        <w:rPr>
          <w:rFonts w:ascii="Trebuchet MS" w:hAnsi="Trebuchet MS"/>
          <w:sz w:val="24"/>
          <w:szCs w:val="24"/>
        </w:rPr>
        <w:t xml:space="preserve">design for </w:t>
      </w:r>
      <w:r w:rsidR="004C7620">
        <w:rPr>
          <w:rFonts w:ascii="Trebuchet MS" w:hAnsi="Trebuchet MS"/>
          <w:sz w:val="24"/>
          <w:szCs w:val="24"/>
        </w:rPr>
        <w:t>clinical trials</w:t>
      </w:r>
      <w:r w:rsidR="002973EF" w:rsidRPr="002973EF">
        <w:rPr>
          <w:rFonts w:ascii="Trebuchet MS" w:hAnsi="Trebuchet MS"/>
          <w:b/>
          <w:sz w:val="24"/>
          <w:szCs w:val="24"/>
        </w:rPr>
        <w:t>.</w:t>
      </w:r>
      <w:r w:rsidR="002973EF">
        <w:rPr>
          <w:rFonts w:ascii="Trebuchet MS" w:hAnsi="Trebuchet MS"/>
          <w:b/>
          <w:sz w:val="24"/>
          <w:szCs w:val="24"/>
        </w:rPr>
        <w:t xml:space="preserve"> </w:t>
      </w:r>
      <w:r w:rsidR="002973EF" w:rsidRPr="002973EF">
        <w:rPr>
          <w:rFonts w:ascii="Trebuchet MS" w:hAnsi="Trebuchet MS" w:cs="ArialMT"/>
          <w:color w:val="000000"/>
          <w:sz w:val="24"/>
          <w:szCs w:val="24"/>
        </w:rPr>
        <w:t>O</w:t>
      </w:r>
      <w:r w:rsidR="00363780" w:rsidRPr="00467EC1">
        <w:rPr>
          <w:rFonts w:ascii="Trebuchet MS" w:hAnsi="Trebuchet MS" w:cs="ArialMT"/>
          <w:color w:val="000000"/>
          <w:sz w:val="24"/>
          <w:szCs w:val="24"/>
        </w:rPr>
        <w:t>n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AC264F" w:rsidRPr="00467EC1">
        <w:rPr>
          <w:rFonts w:ascii="Trebuchet MS" w:hAnsi="Trebuchet MS" w:cs="ArialMT"/>
          <w:color w:val="000000"/>
          <w:sz w:val="24"/>
          <w:szCs w:val="24"/>
        </w:rPr>
        <w:t>20</w:t>
      </w:r>
      <w:r w:rsidR="00363780"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March 2018, the FDA </w:t>
      </w:r>
      <w:r w:rsidR="00F25173">
        <w:rPr>
          <w:rFonts w:ascii="Trebuchet MS" w:hAnsi="Trebuchet MS" w:cs="ArialMT"/>
          <w:color w:val="000000"/>
          <w:sz w:val="24"/>
          <w:szCs w:val="24"/>
        </w:rPr>
        <w:t>convened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 a</w:t>
      </w:r>
      <w:r w:rsidR="006D0809">
        <w:rPr>
          <w:rFonts w:ascii="Trebuchet MS" w:hAnsi="Trebuchet MS" w:cs="ArialMT"/>
          <w:color w:val="000000"/>
          <w:sz w:val="24"/>
          <w:szCs w:val="24"/>
        </w:rPr>
        <w:t>n all-day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AC264F" w:rsidRPr="00467EC1">
        <w:rPr>
          <w:rFonts w:ascii="Trebuchet MS" w:hAnsi="Trebuchet MS" w:cs="ArialMT"/>
          <w:color w:val="000000"/>
          <w:sz w:val="24"/>
          <w:szCs w:val="24"/>
        </w:rPr>
        <w:t>public workshop</w:t>
      </w:r>
      <w:r w:rsidR="007D5499">
        <w:rPr>
          <w:rFonts w:ascii="Trebuchet MS" w:hAnsi="Trebuchet MS" w:cs="ArialMT"/>
          <w:color w:val="000000"/>
          <w:sz w:val="24"/>
          <w:szCs w:val="24"/>
        </w:rPr>
        <w:t>,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ED5FEE">
        <w:rPr>
          <w:rFonts w:ascii="Trebuchet MS" w:hAnsi="Trebuchet MS" w:cs="ArialMT"/>
          <w:color w:val="000000"/>
          <w:sz w:val="24"/>
          <w:szCs w:val="24"/>
        </w:rPr>
        <w:t xml:space="preserve">entitled </w:t>
      </w:r>
      <w:r w:rsidR="007D5499">
        <w:rPr>
          <w:rFonts w:ascii="Trebuchet MS" w:hAnsi="Trebuchet MS" w:cs="Courier"/>
          <w:sz w:val="24"/>
          <w:szCs w:val="24"/>
        </w:rPr>
        <w:t>“</w:t>
      </w:r>
      <w:r w:rsidR="007D5499" w:rsidRPr="007123B7">
        <w:rPr>
          <w:rFonts w:ascii="Trebuchet MS" w:hAnsi="Trebuchet MS" w:cs="Courier"/>
          <w:sz w:val="24"/>
          <w:szCs w:val="24"/>
        </w:rPr>
        <w:t>Promoting the Use of Complex Innovative Designs</w:t>
      </w:r>
      <w:r w:rsidR="007D5499">
        <w:rPr>
          <w:rFonts w:ascii="Trebuchet MS" w:hAnsi="Trebuchet MS" w:cs="Courier"/>
          <w:sz w:val="24"/>
          <w:szCs w:val="24"/>
        </w:rPr>
        <w:t xml:space="preserve"> [CID] </w:t>
      </w:r>
      <w:r w:rsidR="007D5499" w:rsidRPr="007123B7">
        <w:rPr>
          <w:rFonts w:ascii="Trebuchet MS" w:hAnsi="Trebuchet MS" w:cs="Courier"/>
          <w:sz w:val="24"/>
          <w:szCs w:val="24"/>
        </w:rPr>
        <w:t>in Clinical Trials</w:t>
      </w:r>
      <w:r w:rsidR="00ED5FEE">
        <w:rPr>
          <w:rFonts w:ascii="Trebuchet MS" w:hAnsi="Trebuchet MS" w:cs="Courier"/>
          <w:sz w:val="24"/>
          <w:szCs w:val="24"/>
        </w:rPr>
        <w:t>,</w:t>
      </w:r>
      <w:r w:rsidR="007D5499">
        <w:rPr>
          <w:rFonts w:ascii="Courier" w:hAnsi="Courier" w:cs="Courier"/>
          <w:sz w:val="26"/>
          <w:szCs w:val="26"/>
        </w:rPr>
        <w:t>”</w:t>
      </w:r>
      <w:r w:rsidR="007D5499">
        <w:rPr>
          <w:rFonts w:ascii="Trebuchet MS" w:hAnsi="Trebuchet MS" w:cs="Courier"/>
          <w:sz w:val="24"/>
          <w:szCs w:val="24"/>
        </w:rPr>
        <w:t xml:space="preserve"> 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with </w:t>
      </w:r>
      <w:r w:rsidR="00DB08EF" w:rsidRPr="00467EC1">
        <w:rPr>
          <w:rFonts w:ascii="Trebuchet MS" w:hAnsi="Trebuchet MS" w:cs="ArialMT"/>
          <w:color w:val="000000"/>
          <w:sz w:val="24"/>
          <w:szCs w:val="24"/>
        </w:rPr>
        <w:t>s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>tatisticians</w:t>
      </w:r>
      <w:r w:rsidR="00DB08EF" w:rsidRPr="00467EC1">
        <w:rPr>
          <w:rFonts w:ascii="Trebuchet MS" w:hAnsi="Trebuchet MS" w:cs="ArialMT"/>
          <w:color w:val="000000"/>
          <w:sz w:val="24"/>
          <w:szCs w:val="24"/>
        </w:rPr>
        <w:t>, Pharma,</w:t>
      </w:r>
      <w:r w:rsidR="00D827A6" w:rsidRPr="00467EC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250FFC">
        <w:rPr>
          <w:rFonts w:ascii="Trebuchet MS" w:hAnsi="Trebuchet MS" w:cs="ArialMT"/>
          <w:color w:val="000000"/>
          <w:sz w:val="24"/>
          <w:szCs w:val="24"/>
        </w:rPr>
        <w:t>academicians</w:t>
      </w:r>
      <w:r w:rsidR="009B503F">
        <w:rPr>
          <w:rFonts w:ascii="Trebuchet MS" w:hAnsi="Trebuchet MS" w:cs="ArialMT"/>
          <w:color w:val="000000"/>
          <w:sz w:val="24"/>
          <w:szCs w:val="24"/>
        </w:rPr>
        <w:t>,</w:t>
      </w:r>
      <w:r w:rsidR="00250FFC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D0809">
        <w:rPr>
          <w:rFonts w:ascii="Trebuchet MS" w:hAnsi="Trebuchet MS" w:cs="ArialMT"/>
          <w:color w:val="000000"/>
          <w:sz w:val="24"/>
          <w:szCs w:val="24"/>
        </w:rPr>
        <w:t xml:space="preserve">clinicians, </w:t>
      </w:r>
      <w:r w:rsidR="009B503F">
        <w:rPr>
          <w:rFonts w:ascii="Trebuchet MS" w:hAnsi="Trebuchet MS" w:cs="ArialMT"/>
          <w:color w:val="000000"/>
          <w:sz w:val="24"/>
          <w:szCs w:val="24"/>
        </w:rPr>
        <w:t>and care givers</w:t>
      </w:r>
      <w:r w:rsidR="007D5499">
        <w:rPr>
          <w:rFonts w:ascii="Trebuchet MS" w:hAnsi="Trebuchet MS" w:cs="ArialMT"/>
          <w:color w:val="000000"/>
          <w:sz w:val="24"/>
          <w:szCs w:val="24"/>
        </w:rPr>
        <w:t>.</w:t>
      </w:r>
      <w:r w:rsidR="003B757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166B02">
        <w:rPr>
          <w:rFonts w:ascii="Trebuchet MS" w:hAnsi="Trebuchet MS" w:cs="ArialMT"/>
          <w:color w:val="000000"/>
          <w:sz w:val="24"/>
          <w:szCs w:val="24"/>
        </w:rPr>
        <w:t xml:space="preserve">As a result, </w:t>
      </w:r>
      <w:r w:rsidR="006D0809">
        <w:rPr>
          <w:rFonts w:ascii="Trebuchet MS" w:hAnsi="Trebuchet MS" w:cs="ArialMT"/>
          <w:color w:val="000000"/>
          <w:sz w:val="24"/>
          <w:szCs w:val="24"/>
        </w:rPr>
        <w:t xml:space="preserve">in the next year or so, </w:t>
      </w:r>
      <w:r w:rsidR="00432B31">
        <w:rPr>
          <w:rFonts w:ascii="Trebuchet MS" w:hAnsi="Trebuchet MS" w:cs="ArialMT"/>
          <w:color w:val="000000"/>
          <w:sz w:val="24"/>
          <w:szCs w:val="24"/>
        </w:rPr>
        <w:t>the FDA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530589">
        <w:rPr>
          <w:rFonts w:ascii="Trebuchet MS" w:hAnsi="Trebuchet MS" w:cs="ArialMT"/>
          <w:color w:val="000000"/>
          <w:sz w:val="24"/>
          <w:szCs w:val="24"/>
        </w:rPr>
        <w:t xml:space="preserve">plans to </w:t>
      </w:r>
      <w:r w:rsidR="009A33E6">
        <w:rPr>
          <w:rFonts w:ascii="Trebuchet MS" w:hAnsi="Trebuchet MS" w:cs="ArialMT"/>
          <w:color w:val="000000"/>
          <w:sz w:val="24"/>
          <w:szCs w:val="24"/>
        </w:rPr>
        <w:t>do a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pilot </w:t>
      </w:r>
      <w:r w:rsidR="006D0809">
        <w:rPr>
          <w:rFonts w:ascii="Trebuchet MS" w:hAnsi="Trebuchet MS" w:cs="ArialMT"/>
          <w:color w:val="000000"/>
          <w:sz w:val="24"/>
          <w:szCs w:val="24"/>
        </w:rPr>
        <w:t xml:space="preserve">CID </w:t>
      </w:r>
      <w:r w:rsidR="00BD7B5B">
        <w:rPr>
          <w:rFonts w:ascii="Trebuchet MS" w:hAnsi="Trebuchet MS" w:cs="ArialMT"/>
          <w:color w:val="000000"/>
          <w:sz w:val="24"/>
          <w:szCs w:val="24"/>
        </w:rPr>
        <w:t>study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36071E">
        <w:rPr>
          <w:rFonts w:ascii="Trebuchet MS" w:hAnsi="Trebuchet MS" w:cs="ArialMT"/>
          <w:color w:val="000000"/>
          <w:sz w:val="24"/>
          <w:szCs w:val="24"/>
        </w:rPr>
        <w:t xml:space="preserve">that works with the </w:t>
      </w:r>
      <w:r w:rsidR="004576B8">
        <w:rPr>
          <w:rFonts w:ascii="Trebuchet MS" w:hAnsi="Trebuchet MS" w:cs="ArialMT"/>
          <w:color w:val="000000"/>
          <w:sz w:val="24"/>
          <w:szCs w:val="24"/>
        </w:rPr>
        <w:t>latest analytical tools (more on th</w:t>
      </w:r>
      <w:r w:rsidR="00124895">
        <w:rPr>
          <w:rFonts w:ascii="Trebuchet MS" w:hAnsi="Trebuchet MS" w:cs="ArialMT"/>
          <w:color w:val="000000"/>
          <w:sz w:val="24"/>
          <w:szCs w:val="24"/>
        </w:rPr>
        <w:t>ese tools</w:t>
      </w:r>
      <w:r w:rsidR="004576B8">
        <w:rPr>
          <w:rFonts w:ascii="Trebuchet MS" w:hAnsi="Trebuchet MS" w:cs="ArialMT"/>
          <w:color w:val="000000"/>
          <w:sz w:val="24"/>
          <w:szCs w:val="24"/>
        </w:rPr>
        <w:t xml:space="preserve"> later)</w:t>
      </w:r>
      <w:r w:rsidR="00811564">
        <w:rPr>
          <w:rFonts w:ascii="Trebuchet MS" w:hAnsi="Trebuchet MS" w:cs="ArialMT"/>
          <w:color w:val="000000"/>
          <w:sz w:val="24"/>
          <w:szCs w:val="24"/>
        </w:rPr>
        <w:t>.</w:t>
      </w:r>
      <w:r w:rsidR="006132C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D7B5B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014B4383" w14:textId="7464E87F" w:rsidR="00FC33E2" w:rsidRPr="00A666E3" w:rsidRDefault="007123B7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lastRenderedPageBreak/>
        <w:t>In this p</w:t>
      </w:r>
      <w:r w:rsidR="009A33E6">
        <w:rPr>
          <w:rFonts w:ascii="Trebuchet MS" w:hAnsi="Trebuchet MS" w:cs="ArialMT"/>
          <w:color w:val="000000"/>
          <w:sz w:val="24"/>
          <w:szCs w:val="24"/>
        </w:rPr>
        <w:t>aper</w:t>
      </w:r>
      <w:r>
        <w:rPr>
          <w:rFonts w:ascii="Trebuchet MS" w:hAnsi="Trebuchet MS" w:cs="ArialMT"/>
          <w:color w:val="000000"/>
          <w:sz w:val="24"/>
          <w:szCs w:val="24"/>
        </w:rPr>
        <w:t xml:space="preserve">, I cover the practical significance of adaptive clinical trials for the Foundation. </w:t>
      </w:r>
      <w:r w:rsidR="009A33E6">
        <w:rPr>
          <w:rFonts w:ascii="Trebuchet MS" w:hAnsi="Trebuchet MS" w:cs="ArialMT"/>
          <w:color w:val="000000"/>
          <w:sz w:val="24"/>
          <w:szCs w:val="24"/>
        </w:rPr>
        <w:t>My primary sources are</w:t>
      </w:r>
      <w:r w:rsidR="003971DF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>
        <w:rPr>
          <w:rFonts w:ascii="Trebuchet MS" w:hAnsi="Trebuchet MS" w:cs="ArialMT"/>
          <w:color w:val="000000"/>
          <w:sz w:val="24"/>
          <w:szCs w:val="24"/>
        </w:rPr>
        <w:t xml:space="preserve">the transcript of the 2018 </w:t>
      </w:r>
      <w:r w:rsidR="00A34AE3">
        <w:rPr>
          <w:rFonts w:ascii="Trebuchet MS" w:hAnsi="Trebuchet MS" w:cs="ArialMT"/>
          <w:color w:val="000000"/>
          <w:sz w:val="24"/>
          <w:szCs w:val="24"/>
        </w:rPr>
        <w:t>CID</w:t>
      </w:r>
      <w:r w:rsidR="00D82A3E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>
        <w:rPr>
          <w:rFonts w:ascii="Trebuchet MS" w:hAnsi="Trebuchet MS" w:cs="ArialMT"/>
          <w:color w:val="000000"/>
          <w:sz w:val="24"/>
          <w:szCs w:val="24"/>
        </w:rPr>
        <w:t xml:space="preserve">workshop and </w:t>
      </w:r>
      <w:r w:rsidR="00725C8E">
        <w:rPr>
          <w:rFonts w:ascii="Trebuchet MS" w:hAnsi="Trebuchet MS" w:cs="ArialMT"/>
          <w:color w:val="000000"/>
          <w:sz w:val="24"/>
          <w:szCs w:val="24"/>
        </w:rPr>
        <w:t>the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1E6EF0">
        <w:rPr>
          <w:rFonts w:ascii="Trebuchet MS" w:hAnsi="Trebuchet MS" w:cs="ArialMT"/>
          <w:color w:val="000000"/>
          <w:sz w:val="24"/>
          <w:szCs w:val="24"/>
        </w:rPr>
        <w:t xml:space="preserve">draft of the </w:t>
      </w:r>
      <w:r w:rsidR="00A341F2">
        <w:rPr>
          <w:rFonts w:ascii="Trebuchet MS" w:hAnsi="Trebuchet MS" w:cs="ArialMT"/>
          <w:color w:val="000000"/>
          <w:sz w:val="24"/>
          <w:szCs w:val="24"/>
        </w:rPr>
        <w:t xml:space="preserve">2010 </w:t>
      </w:r>
      <w:r w:rsidR="00725C8E">
        <w:rPr>
          <w:rFonts w:ascii="Trebuchet MS" w:hAnsi="Trebuchet MS" w:cs="ArialMT"/>
          <w:color w:val="000000"/>
          <w:sz w:val="24"/>
          <w:szCs w:val="24"/>
        </w:rPr>
        <w:t xml:space="preserve">adaptive </w:t>
      </w:r>
      <w:r w:rsidR="00E56301">
        <w:rPr>
          <w:rFonts w:ascii="Trebuchet MS" w:hAnsi="Trebuchet MS" w:cs="ArialMT"/>
          <w:color w:val="000000"/>
          <w:sz w:val="24"/>
          <w:szCs w:val="24"/>
        </w:rPr>
        <w:t xml:space="preserve">trial </w:t>
      </w:r>
      <w:r>
        <w:rPr>
          <w:rFonts w:ascii="Trebuchet MS" w:hAnsi="Trebuchet MS" w:cs="ArialMT"/>
          <w:color w:val="000000"/>
          <w:sz w:val="24"/>
          <w:szCs w:val="24"/>
        </w:rPr>
        <w:t xml:space="preserve">guidance. </w:t>
      </w:r>
      <w:r w:rsidR="00725C8E">
        <w:rPr>
          <w:rFonts w:ascii="Trebuchet MS" w:hAnsi="Trebuchet MS" w:cs="ArialMT"/>
          <w:color w:val="000000"/>
          <w:sz w:val="24"/>
          <w:szCs w:val="24"/>
        </w:rPr>
        <w:t xml:space="preserve">The two overlaps considerably. </w:t>
      </w:r>
      <w:r w:rsidR="00FC33E2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17B80C00" w14:textId="77777777" w:rsidR="00BD15C1" w:rsidRDefault="00BD15C1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5BE5CA18" w14:textId="77777777" w:rsidR="005805AB" w:rsidRDefault="005805AB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3710E651" w14:textId="716A1EF1" w:rsidR="001D61C6" w:rsidRPr="000C7D61" w:rsidRDefault="00D71D4A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4"/>
          <w:szCs w:val="24"/>
        </w:rPr>
      </w:pPr>
      <w:r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Single trial </w:t>
      </w:r>
      <w:r w:rsidR="001A2305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that incorporates </w:t>
      </w:r>
      <w:r w:rsidR="000C7D61" w:rsidRPr="001D5E24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phases </w:t>
      </w:r>
      <w:r w:rsidR="00604EC6">
        <w:rPr>
          <w:rFonts w:ascii="Trebuchet MS" w:hAnsi="Trebuchet MS" w:cs="ArialMT"/>
          <w:b/>
          <w:i/>
          <w:color w:val="000000"/>
          <w:sz w:val="28"/>
          <w:szCs w:val="28"/>
        </w:rPr>
        <w:t>1 and 2</w:t>
      </w:r>
      <w:r w:rsidR="008D20B8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trials</w:t>
      </w:r>
    </w:p>
    <w:p w14:paraId="0D2FC78A" w14:textId="7D06BD77" w:rsidR="000C7D61" w:rsidRDefault="000C7D61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6CAC682" w14:textId="638D51C1" w:rsidR="002C2B2F" w:rsidRPr="002C2B2F" w:rsidRDefault="000C7D61" w:rsidP="002C2B2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 xml:space="preserve">The 2018 workshop on adaptive clinical trials </w:t>
      </w:r>
      <w:r w:rsidR="007011F6">
        <w:rPr>
          <w:rFonts w:ascii="Trebuchet MS" w:hAnsi="Trebuchet MS" w:cs="ArialMT"/>
          <w:color w:val="000000"/>
          <w:sz w:val="24"/>
          <w:szCs w:val="24"/>
        </w:rPr>
        <w:t>covers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802B5C">
        <w:rPr>
          <w:rFonts w:ascii="Trebuchet MS" w:hAnsi="Trebuchet MS" w:cs="ArialMT"/>
          <w:color w:val="000000"/>
          <w:sz w:val="24"/>
          <w:szCs w:val="24"/>
        </w:rPr>
        <w:t>“</w:t>
      </w:r>
      <w:r>
        <w:rPr>
          <w:rFonts w:ascii="Trebuchet MS" w:hAnsi="Trebuchet MS" w:cs="ArialMT"/>
          <w:color w:val="000000"/>
          <w:sz w:val="24"/>
          <w:szCs w:val="24"/>
        </w:rPr>
        <w:t>rolling up</w:t>
      </w:r>
      <w:r w:rsidR="00802B5C">
        <w:rPr>
          <w:rFonts w:ascii="Trebuchet MS" w:hAnsi="Trebuchet MS" w:cs="ArialMT"/>
          <w:color w:val="000000"/>
          <w:sz w:val="24"/>
          <w:szCs w:val="24"/>
        </w:rPr>
        <w:t>”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746506">
        <w:rPr>
          <w:rFonts w:ascii="Trebuchet MS" w:hAnsi="Trebuchet MS" w:cs="ArialMT"/>
          <w:color w:val="000000"/>
          <w:sz w:val="24"/>
          <w:szCs w:val="24"/>
        </w:rPr>
        <w:t xml:space="preserve">traditional </w:t>
      </w:r>
      <w:r w:rsidR="000C54F2">
        <w:rPr>
          <w:rFonts w:ascii="Trebuchet MS" w:hAnsi="Trebuchet MS" w:cs="ArialMT"/>
          <w:color w:val="000000"/>
          <w:sz w:val="24"/>
          <w:szCs w:val="24"/>
        </w:rPr>
        <w:t>p</w:t>
      </w:r>
      <w:r>
        <w:rPr>
          <w:rFonts w:ascii="Trebuchet MS" w:hAnsi="Trebuchet MS" w:cs="ArialMT"/>
          <w:color w:val="000000"/>
          <w:sz w:val="24"/>
          <w:szCs w:val="24"/>
        </w:rPr>
        <w:t>hase</w:t>
      </w:r>
      <w:r w:rsidR="00785ABF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>
        <w:rPr>
          <w:rFonts w:ascii="Trebuchet MS" w:hAnsi="Trebuchet MS" w:cs="ArialMT"/>
          <w:color w:val="000000"/>
          <w:sz w:val="24"/>
          <w:szCs w:val="24"/>
        </w:rPr>
        <w:t xml:space="preserve">1 and 2 </w:t>
      </w:r>
      <w:r w:rsidR="005446FB">
        <w:rPr>
          <w:rFonts w:ascii="Trebuchet MS" w:hAnsi="Trebuchet MS" w:cs="ArialMT"/>
          <w:color w:val="000000"/>
          <w:sz w:val="24"/>
          <w:szCs w:val="24"/>
        </w:rPr>
        <w:t xml:space="preserve">trials </w:t>
      </w:r>
      <w:r>
        <w:rPr>
          <w:rFonts w:ascii="Trebuchet MS" w:hAnsi="Trebuchet MS" w:cs="ArialMT"/>
          <w:color w:val="000000"/>
          <w:sz w:val="24"/>
          <w:szCs w:val="24"/>
        </w:rPr>
        <w:t>into a single trial</w:t>
      </w:r>
      <w:r w:rsidR="00935B67">
        <w:rPr>
          <w:rFonts w:ascii="Trebuchet MS" w:hAnsi="Trebuchet MS" w:cs="ArialMT"/>
          <w:color w:val="000000"/>
          <w:sz w:val="24"/>
          <w:szCs w:val="24"/>
        </w:rPr>
        <w:t xml:space="preserve"> (</w:t>
      </w:r>
      <w:r w:rsidR="003971DF">
        <w:rPr>
          <w:rFonts w:ascii="Trebuchet MS" w:hAnsi="Trebuchet MS" w:cs="ArialMT"/>
          <w:color w:val="000000"/>
          <w:sz w:val="24"/>
          <w:szCs w:val="24"/>
        </w:rPr>
        <w:t>t</w:t>
      </w:r>
      <w:r>
        <w:rPr>
          <w:rFonts w:ascii="Trebuchet MS" w:hAnsi="Trebuchet MS" w:cs="ArialMT"/>
          <w:color w:val="000000"/>
          <w:sz w:val="24"/>
          <w:szCs w:val="24"/>
        </w:rPr>
        <w:t xml:space="preserve">he 2010 </w:t>
      </w:r>
      <w:r w:rsidR="007011F6">
        <w:rPr>
          <w:rFonts w:ascii="Trebuchet MS" w:hAnsi="Trebuchet MS" w:cs="ArialMT"/>
          <w:color w:val="000000"/>
          <w:sz w:val="24"/>
          <w:szCs w:val="24"/>
        </w:rPr>
        <w:t>guidance</w:t>
      </w:r>
      <w:r>
        <w:rPr>
          <w:rFonts w:ascii="Trebuchet MS" w:hAnsi="Trebuchet MS" w:cs="ArialMT"/>
          <w:color w:val="000000"/>
          <w:sz w:val="24"/>
          <w:szCs w:val="24"/>
        </w:rPr>
        <w:t xml:space="preserve"> d</w:t>
      </w:r>
      <w:r w:rsidR="00846870">
        <w:rPr>
          <w:rFonts w:ascii="Trebuchet MS" w:hAnsi="Trebuchet MS" w:cs="ArialMT"/>
          <w:color w:val="000000"/>
          <w:sz w:val="24"/>
          <w:szCs w:val="24"/>
        </w:rPr>
        <w:t>oes</w:t>
      </w:r>
      <w:r>
        <w:rPr>
          <w:rFonts w:ascii="Trebuchet MS" w:hAnsi="Trebuchet MS" w:cs="ArialMT"/>
          <w:color w:val="000000"/>
          <w:sz w:val="24"/>
          <w:szCs w:val="24"/>
        </w:rPr>
        <w:t xml:space="preserve"> not</w:t>
      </w:r>
      <w:r w:rsidR="00E56301">
        <w:rPr>
          <w:rFonts w:ascii="Trebuchet MS" w:hAnsi="Trebuchet MS" w:cs="ArialMT"/>
          <w:color w:val="000000"/>
          <w:sz w:val="24"/>
          <w:szCs w:val="24"/>
        </w:rPr>
        <w:t xml:space="preserve"> cover this</w:t>
      </w:r>
      <w:r w:rsidR="00935B67">
        <w:rPr>
          <w:rFonts w:ascii="Trebuchet MS" w:hAnsi="Trebuchet MS" w:cs="ArialMT"/>
          <w:color w:val="000000"/>
          <w:sz w:val="24"/>
          <w:szCs w:val="24"/>
        </w:rPr>
        <w:t>)</w:t>
      </w:r>
      <w:r w:rsidR="004A420F">
        <w:rPr>
          <w:rFonts w:ascii="Trebuchet MS" w:hAnsi="Trebuchet MS" w:cs="ArialMT"/>
          <w:color w:val="000000"/>
          <w:sz w:val="24"/>
          <w:szCs w:val="24"/>
        </w:rPr>
        <w:t>.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A37997">
        <w:rPr>
          <w:rFonts w:ascii="Trebuchet MS" w:hAnsi="Trebuchet MS" w:cs="ArialMT"/>
          <w:color w:val="000000"/>
          <w:sz w:val="24"/>
          <w:szCs w:val="24"/>
        </w:rPr>
        <w:t>It require</w:t>
      </w:r>
      <w:r w:rsidR="00185A02">
        <w:rPr>
          <w:rFonts w:ascii="Trebuchet MS" w:hAnsi="Trebuchet MS" w:cs="ArialMT"/>
          <w:color w:val="000000"/>
          <w:sz w:val="24"/>
          <w:szCs w:val="24"/>
        </w:rPr>
        <w:t>s</w:t>
      </w:r>
      <w:r w:rsidR="00A37997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71B15">
        <w:rPr>
          <w:rFonts w:ascii="Trebuchet MS" w:hAnsi="Trebuchet MS" w:cs="ArialMT"/>
          <w:color w:val="000000"/>
          <w:sz w:val="24"/>
          <w:szCs w:val="24"/>
        </w:rPr>
        <w:t>a</w:t>
      </w:r>
      <w:r w:rsidR="00A37997">
        <w:rPr>
          <w:rFonts w:ascii="Trebuchet MS" w:hAnsi="Trebuchet MS" w:cs="ArialMT"/>
          <w:color w:val="000000"/>
          <w:sz w:val="24"/>
          <w:szCs w:val="24"/>
        </w:rPr>
        <w:t xml:space="preserve"> trial plan </w:t>
      </w:r>
      <w:r w:rsidR="005446FB">
        <w:rPr>
          <w:rFonts w:ascii="Trebuchet MS" w:hAnsi="Trebuchet MS" w:cs="ArialMT"/>
          <w:color w:val="000000"/>
          <w:sz w:val="24"/>
          <w:szCs w:val="24"/>
        </w:rPr>
        <w:t xml:space="preserve">that </w:t>
      </w:r>
      <w:r w:rsidR="00A37997">
        <w:rPr>
          <w:rFonts w:ascii="Trebuchet MS" w:hAnsi="Trebuchet MS" w:cs="ArialMT"/>
          <w:color w:val="000000"/>
          <w:sz w:val="24"/>
          <w:szCs w:val="24"/>
        </w:rPr>
        <w:t>spell</w:t>
      </w:r>
      <w:r w:rsidR="005446FB">
        <w:rPr>
          <w:rFonts w:ascii="Trebuchet MS" w:hAnsi="Trebuchet MS" w:cs="ArialMT"/>
          <w:color w:val="000000"/>
          <w:sz w:val="24"/>
          <w:szCs w:val="24"/>
        </w:rPr>
        <w:t>s</w:t>
      </w:r>
      <w:r w:rsidR="00A37997">
        <w:rPr>
          <w:rFonts w:ascii="Trebuchet MS" w:hAnsi="Trebuchet MS" w:cs="ArialMT"/>
          <w:color w:val="000000"/>
          <w:sz w:val="24"/>
          <w:szCs w:val="24"/>
        </w:rPr>
        <w:t xml:space="preserve"> out </w:t>
      </w:r>
      <w:r w:rsidR="004F40BF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065D0B">
        <w:rPr>
          <w:rFonts w:ascii="Trebuchet MS" w:hAnsi="Trebuchet MS" w:cs="ArialMT"/>
          <w:color w:val="000000"/>
          <w:sz w:val="24"/>
          <w:szCs w:val="24"/>
        </w:rPr>
        <w:t xml:space="preserve">intentions and </w:t>
      </w:r>
      <w:r w:rsidR="003971DF">
        <w:rPr>
          <w:rFonts w:ascii="Trebuchet MS" w:hAnsi="Trebuchet MS" w:cs="ArialMT"/>
          <w:color w:val="000000"/>
          <w:sz w:val="24"/>
          <w:szCs w:val="24"/>
        </w:rPr>
        <w:t xml:space="preserve">detailed </w:t>
      </w:r>
      <w:r w:rsidR="00065D0B">
        <w:rPr>
          <w:rFonts w:ascii="Trebuchet MS" w:hAnsi="Trebuchet MS" w:cs="ArialMT"/>
          <w:color w:val="000000"/>
          <w:sz w:val="24"/>
          <w:szCs w:val="24"/>
        </w:rPr>
        <w:t>rules for</w:t>
      </w:r>
      <w:r>
        <w:rPr>
          <w:rFonts w:ascii="Trebuchet MS" w:hAnsi="Trebuchet MS" w:cs="ArialMT"/>
          <w:color w:val="000000"/>
          <w:sz w:val="24"/>
          <w:szCs w:val="24"/>
        </w:rPr>
        <w:t xml:space="preserve"> combin</w:t>
      </w:r>
      <w:r w:rsidR="00065D0B">
        <w:rPr>
          <w:rFonts w:ascii="Trebuchet MS" w:hAnsi="Trebuchet MS" w:cs="ArialMT"/>
          <w:color w:val="000000"/>
          <w:sz w:val="24"/>
          <w:szCs w:val="24"/>
        </w:rPr>
        <w:t>ing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A37997">
        <w:rPr>
          <w:rFonts w:ascii="Trebuchet MS" w:hAnsi="Trebuchet MS" w:cs="ArialMT"/>
          <w:color w:val="000000"/>
          <w:sz w:val="24"/>
          <w:szCs w:val="24"/>
        </w:rPr>
        <w:t xml:space="preserve">the two phases </w:t>
      </w:r>
      <w:r w:rsidR="00065D0B">
        <w:rPr>
          <w:rFonts w:ascii="Trebuchet MS" w:hAnsi="Trebuchet MS" w:cs="ArialMT"/>
          <w:color w:val="000000"/>
          <w:sz w:val="24"/>
          <w:szCs w:val="24"/>
        </w:rPr>
        <w:t>into a single trial</w:t>
      </w:r>
      <w:r>
        <w:rPr>
          <w:rFonts w:ascii="Trebuchet MS" w:hAnsi="Trebuchet MS" w:cs="ArialMT"/>
          <w:color w:val="000000"/>
          <w:sz w:val="24"/>
          <w:szCs w:val="24"/>
        </w:rPr>
        <w:t xml:space="preserve">. </w:t>
      </w:r>
      <w:r w:rsidR="00185A02">
        <w:rPr>
          <w:rFonts w:ascii="Trebuchet MS" w:hAnsi="Trebuchet MS" w:cs="ArialMT"/>
          <w:color w:val="000000"/>
          <w:sz w:val="24"/>
          <w:szCs w:val="24"/>
        </w:rPr>
        <w:t>The</w:t>
      </w:r>
      <w:r>
        <w:rPr>
          <w:rFonts w:ascii="Trebuchet MS" w:hAnsi="Trebuchet MS" w:cs="ArialMT"/>
          <w:color w:val="000000"/>
          <w:sz w:val="24"/>
          <w:szCs w:val="24"/>
        </w:rPr>
        <w:t xml:space="preserve"> adaptive </w:t>
      </w:r>
      <w:r w:rsidR="00185A02">
        <w:rPr>
          <w:rFonts w:ascii="Trebuchet MS" w:hAnsi="Trebuchet MS" w:cs="ArialMT"/>
          <w:color w:val="000000"/>
          <w:sz w:val="24"/>
          <w:szCs w:val="24"/>
        </w:rPr>
        <w:t>rule is straightforward</w:t>
      </w:r>
      <w:r>
        <w:rPr>
          <w:rFonts w:ascii="Trebuchet MS" w:hAnsi="Trebuchet MS" w:cs="ArialMT"/>
          <w:color w:val="000000"/>
          <w:sz w:val="24"/>
          <w:szCs w:val="24"/>
        </w:rPr>
        <w:t xml:space="preserve">: </w:t>
      </w:r>
      <w:r w:rsidR="004B5641">
        <w:rPr>
          <w:rFonts w:ascii="Trebuchet MS" w:hAnsi="Trebuchet MS" w:cs="ArialMT"/>
          <w:color w:val="000000"/>
          <w:sz w:val="24"/>
          <w:szCs w:val="24"/>
        </w:rPr>
        <w:t>If Phase</w:t>
      </w:r>
      <w:r>
        <w:rPr>
          <w:rFonts w:ascii="Trebuchet MS" w:hAnsi="Trebuchet MS" w:cs="ArialMT"/>
          <w:color w:val="000000"/>
          <w:sz w:val="24"/>
          <w:szCs w:val="24"/>
        </w:rPr>
        <w:t xml:space="preserve"> 1 successfully establishes safety, then Phase 2 </w:t>
      </w:r>
      <w:r w:rsidR="007011F6">
        <w:rPr>
          <w:rFonts w:ascii="Trebuchet MS" w:hAnsi="Trebuchet MS" w:cs="ArialMT"/>
          <w:color w:val="000000"/>
          <w:sz w:val="24"/>
          <w:szCs w:val="24"/>
        </w:rPr>
        <w:t>“</w:t>
      </w:r>
      <w:r>
        <w:rPr>
          <w:rFonts w:ascii="Trebuchet MS" w:hAnsi="Trebuchet MS" w:cs="ArialMT"/>
          <w:color w:val="000000"/>
          <w:sz w:val="24"/>
          <w:szCs w:val="24"/>
        </w:rPr>
        <w:t>kick</w:t>
      </w:r>
      <w:r w:rsidR="00720D99">
        <w:rPr>
          <w:rFonts w:ascii="Trebuchet MS" w:hAnsi="Trebuchet MS" w:cs="ArialMT"/>
          <w:color w:val="000000"/>
          <w:sz w:val="24"/>
          <w:szCs w:val="24"/>
        </w:rPr>
        <w:t>s</w:t>
      </w:r>
      <w:r>
        <w:rPr>
          <w:rFonts w:ascii="Trebuchet MS" w:hAnsi="Trebuchet MS" w:cs="ArialMT"/>
          <w:color w:val="000000"/>
          <w:sz w:val="24"/>
          <w:szCs w:val="24"/>
        </w:rPr>
        <w:t xml:space="preserve"> in</w:t>
      </w:r>
      <w:r w:rsidR="007011F6">
        <w:rPr>
          <w:rFonts w:ascii="Trebuchet MS" w:hAnsi="Trebuchet MS" w:cs="ArialMT"/>
          <w:color w:val="000000"/>
          <w:sz w:val="24"/>
          <w:szCs w:val="24"/>
        </w:rPr>
        <w:t>”</w:t>
      </w:r>
      <w:r>
        <w:rPr>
          <w:rFonts w:ascii="Trebuchet MS" w:hAnsi="Trebuchet MS" w:cs="ArialMT"/>
          <w:color w:val="000000"/>
          <w:sz w:val="24"/>
          <w:szCs w:val="24"/>
        </w:rPr>
        <w:t xml:space="preserve"> seamlessly and with </w:t>
      </w:r>
      <w:r w:rsidR="00846870">
        <w:rPr>
          <w:rFonts w:ascii="Trebuchet MS" w:hAnsi="Trebuchet MS" w:cs="ArialMT"/>
          <w:color w:val="000000"/>
          <w:sz w:val="24"/>
          <w:szCs w:val="24"/>
        </w:rPr>
        <w:t>l</w:t>
      </w:r>
      <w:r w:rsidR="00E56301">
        <w:rPr>
          <w:rFonts w:ascii="Trebuchet MS" w:hAnsi="Trebuchet MS" w:cs="ArialMT"/>
          <w:color w:val="000000"/>
          <w:sz w:val="24"/>
          <w:szCs w:val="24"/>
        </w:rPr>
        <w:t xml:space="preserve">ittle if any </w:t>
      </w:r>
      <w:r>
        <w:rPr>
          <w:rFonts w:ascii="Trebuchet MS" w:hAnsi="Trebuchet MS" w:cs="ArialMT"/>
          <w:color w:val="000000"/>
          <w:sz w:val="24"/>
          <w:szCs w:val="24"/>
        </w:rPr>
        <w:t>delay</w:t>
      </w:r>
      <w:r w:rsidR="00185A02">
        <w:rPr>
          <w:rFonts w:ascii="Trebuchet MS" w:hAnsi="Trebuchet MS" w:cs="ArialMT"/>
          <w:color w:val="000000"/>
          <w:sz w:val="24"/>
          <w:szCs w:val="24"/>
        </w:rPr>
        <w:t>;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185A02">
        <w:rPr>
          <w:rFonts w:ascii="Trebuchet MS" w:hAnsi="Trebuchet MS" w:cs="ArialMT"/>
          <w:color w:val="000000"/>
          <w:sz w:val="24"/>
          <w:szCs w:val="24"/>
        </w:rPr>
        <w:t>i</w:t>
      </w:r>
      <w:r>
        <w:rPr>
          <w:rFonts w:ascii="Trebuchet MS" w:hAnsi="Trebuchet MS" w:cs="ArialMT"/>
          <w:color w:val="000000"/>
          <w:sz w:val="24"/>
          <w:szCs w:val="24"/>
        </w:rPr>
        <w:t>f not</w:t>
      </w:r>
      <w:r w:rsidR="001A2305">
        <w:rPr>
          <w:rFonts w:ascii="Trebuchet MS" w:hAnsi="Trebuchet MS" w:cs="ArialMT"/>
          <w:color w:val="000000"/>
          <w:sz w:val="24"/>
          <w:szCs w:val="24"/>
        </w:rPr>
        <w:t xml:space="preserve"> successful</w:t>
      </w:r>
      <w:r>
        <w:rPr>
          <w:rFonts w:ascii="Trebuchet MS" w:hAnsi="Trebuchet MS" w:cs="ArialMT"/>
          <w:color w:val="000000"/>
          <w:sz w:val="24"/>
          <w:szCs w:val="24"/>
        </w:rPr>
        <w:t xml:space="preserve">, </w:t>
      </w:r>
      <w:r w:rsidR="00195B96">
        <w:rPr>
          <w:rFonts w:ascii="Trebuchet MS" w:hAnsi="Trebuchet MS" w:cs="ArialMT"/>
          <w:color w:val="000000"/>
          <w:sz w:val="24"/>
          <w:szCs w:val="24"/>
        </w:rPr>
        <w:t xml:space="preserve">the trial </w:t>
      </w:r>
      <w:r>
        <w:rPr>
          <w:rFonts w:ascii="Trebuchet MS" w:hAnsi="Trebuchet MS" w:cs="ArialMT"/>
          <w:color w:val="000000"/>
          <w:sz w:val="24"/>
          <w:szCs w:val="24"/>
        </w:rPr>
        <w:t>would end with Phase 1</w:t>
      </w:r>
      <w:r w:rsidR="00552919">
        <w:rPr>
          <w:rFonts w:ascii="Trebuchet MS" w:hAnsi="Trebuchet MS" w:cs="ArialMT"/>
          <w:color w:val="000000"/>
          <w:sz w:val="24"/>
          <w:szCs w:val="24"/>
        </w:rPr>
        <w:t>, as is the case now</w:t>
      </w:r>
      <w:r>
        <w:rPr>
          <w:rFonts w:ascii="Trebuchet MS" w:hAnsi="Trebuchet MS" w:cs="ArialMT"/>
          <w:color w:val="000000"/>
          <w:sz w:val="24"/>
          <w:szCs w:val="24"/>
        </w:rPr>
        <w:t xml:space="preserve">.  </w:t>
      </w:r>
      <w:r w:rsidR="00185A02">
        <w:rPr>
          <w:rFonts w:ascii="Trebuchet MS" w:hAnsi="Trebuchet MS" w:cs="ArialMT"/>
          <w:color w:val="000000"/>
          <w:sz w:val="24"/>
          <w:szCs w:val="24"/>
        </w:rPr>
        <w:t xml:space="preserve">By </w:t>
      </w:r>
      <w:r w:rsidR="00F37549">
        <w:rPr>
          <w:rFonts w:ascii="Trebuchet MS" w:hAnsi="Trebuchet MS" w:cs="ArialMT"/>
          <w:color w:val="000000"/>
          <w:sz w:val="24"/>
          <w:szCs w:val="24"/>
        </w:rPr>
        <w:t>combin</w:t>
      </w:r>
      <w:r w:rsidR="00185A02">
        <w:rPr>
          <w:rFonts w:ascii="Trebuchet MS" w:hAnsi="Trebuchet MS" w:cs="ArialMT"/>
          <w:color w:val="000000"/>
          <w:sz w:val="24"/>
          <w:szCs w:val="24"/>
        </w:rPr>
        <w:t>ing</w:t>
      </w:r>
      <w:r w:rsidR="00F37549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185A02">
        <w:rPr>
          <w:rFonts w:ascii="Trebuchet MS" w:hAnsi="Trebuchet MS" w:cs="ArialMT"/>
          <w:color w:val="000000"/>
          <w:sz w:val="24"/>
          <w:szCs w:val="24"/>
        </w:rPr>
        <w:t>these two phases into a single trial, th</w:t>
      </w:r>
      <w:r w:rsidR="001A2305">
        <w:rPr>
          <w:rFonts w:ascii="Trebuchet MS" w:hAnsi="Trebuchet MS" w:cs="ArialMT"/>
          <w:color w:val="000000"/>
          <w:sz w:val="24"/>
          <w:szCs w:val="24"/>
        </w:rPr>
        <w:t>e</w:t>
      </w:r>
      <w:r w:rsidR="00185A0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2F4B30">
        <w:rPr>
          <w:rFonts w:ascii="Trebuchet MS" w:hAnsi="Trebuchet MS" w:cs="ArialMT"/>
          <w:color w:val="000000"/>
          <w:sz w:val="24"/>
          <w:szCs w:val="24"/>
        </w:rPr>
        <w:t xml:space="preserve">study effort </w:t>
      </w:r>
      <w:r>
        <w:rPr>
          <w:rFonts w:ascii="Trebuchet MS" w:hAnsi="Trebuchet MS" w:cs="ArialMT"/>
          <w:color w:val="000000"/>
          <w:sz w:val="24"/>
          <w:szCs w:val="24"/>
        </w:rPr>
        <w:t xml:space="preserve">would </w:t>
      </w:r>
      <w:r w:rsidR="002F4B30">
        <w:rPr>
          <w:rFonts w:ascii="Trebuchet MS" w:hAnsi="Trebuchet MS" w:cs="ArialMT"/>
          <w:color w:val="000000"/>
          <w:sz w:val="24"/>
          <w:szCs w:val="24"/>
        </w:rPr>
        <w:t xml:space="preserve">take place more quickly </w:t>
      </w:r>
      <w:r w:rsidR="00195B96">
        <w:rPr>
          <w:rFonts w:ascii="Trebuchet MS" w:hAnsi="Trebuchet MS" w:cs="ArialMT"/>
          <w:color w:val="000000"/>
          <w:sz w:val="24"/>
          <w:szCs w:val="24"/>
        </w:rPr>
        <w:t xml:space="preserve">and </w:t>
      </w:r>
      <w:r w:rsidR="002F4B30">
        <w:rPr>
          <w:rFonts w:ascii="Trebuchet MS" w:hAnsi="Trebuchet MS" w:cs="ArialMT"/>
          <w:color w:val="000000"/>
          <w:sz w:val="24"/>
          <w:szCs w:val="24"/>
        </w:rPr>
        <w:t xml:space="preserve">at </w:t>
      </w:r>
      <w:r w:rsidR="00195B96">
        <w:rPr>
          <w:rFonts w:ascii="Trebuchet MS" w:hAnsi="Trebuchet MS" w:cs="ArialMT"/>
          <w:color w:val="000000"/>
          <w:sz w:val="24"/>
          <w:szCs w:val="24"/>
        </w:rPr>
        <w:t>reduce</w:t>
      </w:r>
      <w:r w:rsidR="002F4B30">
        <w:rPr>
          <w:rFonts w:ascii="Trebuchet MS" w:hAnsi="Trebuchet MS" w:cs="ArialMT"/>
          <w:color w:val="000000"/>
          <w:sz w:val="24"/>
          <w:szCs w:val="24"/>
        </w:rPr>
        <w:t>d</w:t>
      </w:r>
      <w:r w:rsidR="00195B96">
        <w:rPr>
          <w:rFonts w:ascii="Trebuchet MS" w:hAnsi="Trebuchet MS" w:cs="ArialMT"/>
          <w:color w:val="000000"/>
          <w:sz w:val="24"/>
          <w:szCs w:val="24"/>
        </w:rPr>
        <w:t xml:space="preserve"> cost</w:t>
      </w:r>
      <w:r w:rsidR="002F4B30">
        <w:rPr>
          <w:rFonts w:ascii="Trebuchet MS" w:hAnsi="Trebuchet MS" w:cs="ArialMT"/>
          <w:color w:val="000000"/>
          <w:sz w:val="24"/>
          <w:szCs w:val="24"/>
        </w:rPr>
        <w:t>s</w:t>
      </w:r>
      <w:r w:rsidR="00C74ECD">
        <w:rPr>
          <w:rFonts w:ascii="Trebuchet MS" w:hAnsi="Trebuchet MS" w:cs="ArialMT"/>
          <w:color w:val="000000"/>
          <w:sz w:val="24"/>
          <w:szCs w:val="24"/>
        </w:rPr>
        <w:t xml:space="preserve">---a key </w:t>
      </w:r>
      <w:r>
        <w:rPr>
          <w:rFonts w:ascii="Trebuchet MS" w:hAnsi="Trebuchet MS" w:cs="ArialMT"/>
          <w:color w:val="000000"/>
          <w:sz w:val="24"/>
          <w:szCs w:val="24"/>
        </w:rPr>
        <w:t>goal of the Cures Act</w:t>
      </w:r>
      <w:r w:rsidR="00846870">
        <w:rPr>
          <w:rFonts w:ascii="Trebuchet MS" w:hAnsi="Trebuchet MS" w:cs="ArialMT"/>
          <w:color w:val="000000"/>
          <w:sz w:val="24"/>
          <w:szCs w:val="24"/>
        </w:rPr>
        <w:t>. A</w:t>
      </w:r>
      <w:r w:rsidR="00530589">
        <w:rPr>
          <w:rFonts w:ascii="Trebuchet MS" w:hAnsi="Trebuchet MS" w:cs="ArialMT"/>
          <w:color w:val="000000"/>
          <w:sz w:val="24"/>
          <w:szCs w:val="24"/>
        </w:rPr>
        <w:t>lso,</w:t>
      </w:r>
      <w:r w:rsidR="00FC33E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530589">
        <w:rPr>
          <w:rFonts w:ascii="Trebuchet MS" w:hAnsi="Trebuchet MS" w:cs="ArialMT"/>
          <w:color w:val="000000"/>
          <w:sz w:val="24"/>
          <w:szCs w:val="24"/>
        </w:rPr>
        <w:t xml:space="preserve">it </w:t>
      </w:r>
      <w:r w:rsidR="00FC33E2">
        <w:rPr>
          <w:rFonts w:ascii="Trebuchet MS" w:hAnsi="Trebuchet MS" w:cs="ArialMT"/>
          <w:color w:val="000000"/>
          <w:sz w:val="24"/>
          <w:szCs w:val="24"/>
        </w:rPr>
        <w:t xml:space="preserve">would be </w:t>
      </w:r>
      <w:r w:rsidR="00604EC6">
        <w:rPr>
          <w:rFonts w:ascii="Trebuchet MS" w:hAnsi="Trebuchet MS" w:cs="ArialMT"/>
          <w:color w:val="000000"/>
          <w:sz w:val="24"/>
          <w:szCs w:val="24"/>
        </w:rPr>
        <w:t xml:space="preserve">relatively </w:t>
      </w:r>
      <w:r w:rsidR="00FC33E2">
        <w:rPr>
          <w:rFonts w:ascii="Trebuchet MS" w:hAnsi="Trebuchet MS" w:cs="ArialMT"/>
          <w:color w:val="000000"/>
          <w:sz w:val="24"/>
          <w:szCs w:val="24"/>
        </w:rPr>
        <w:t>eas</w:t>
      </w:r>
      <w:r w:rsidR="00604EC6">
        <w:rPr>
          <w:rFonts w:ascii="Trebuchet MS" w:hAnsi="Trebuchet MS" w:cs="ArialMT"/>
          <w:color w:val="000000"/>
          <w:sz w:val="24"/>
          <w:szCs w:val="24"/>
        </w:rPr>
        <w:t>y</w:t>
      </w:r>
      <w:r w:rsidR="00FC33E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04EC6">
        <w:rPr>
          <w:rFonts w:ascii="Trebuchet MS" w:hAnsi="Trebuchet MS" w:cs="ArialMT"/>
          <w:color w:val="000000"/>
          <w:sz w:val="24"/>
          <w:szCs w:val="24"/>
        </w:rPr>
        <w:t xml:space="preserve">to </w:t>
      </w:r>
      <w:r w:rsidR="00FC33E2">
        <w:rPr>
          <w:rFonts w:ascii="Trebuchet MS" w:hAnsi="Trebuchet MS" w:cs="ArialMT"/>
          <w:color w:val="000000"/>
          <w:sz w:val="24"/>
          <w:szCs w:val="24"/>
        </w:rPr>
        <w:t>implement</w:t>
      </w:r>
      <w:r w:rsidR="00932D34">
        <w:rPr>
          <w:rFonts w:ascii="Trebuchet MS" w:hAnsi="Trebuchet MS" w:cs="ArialMT"/>
          <w:color w:val="000000"/>
          <w:sz w:val="24"/>
          <w:szCs w:val="24"/>
        </w:rPr>
        <w:t xml:space="preserve"> and entail</w:t>
      </w:r>
      <w:r w:rsidR="00637005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1E6EF0">
        <w:rPr>
          <w:rFonts w:ascii="Trebuchet MS" w:hAnsi="Trebuchet MS" w:cs="ArialMT"/>
          <w:color w:val="000000"/>
          <w:sz w:val="24"/>
          <w:szCs w:val="24"/>
        </w:rPr>
        <w:t>virtually no</w:t>
      </w:r>
      <w:r w:rsidR="00637005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04EC6">
        <w:rPr>
          <w:rFonts w:ascii="Trebuchet MS" w:hAnsi="Trebuchet MS" w:cs="ArialMT"/>
          <w:color w:val="000000"/>
          <w:sz w:val="24"/>
          <w:szCs w:val="24"/>
        </w:rPr>
        <w:t xml:space="preserve">risk </w:t>
      </w:r>
      <w:r w:rsidR="00D97BA4">
        <w:rPr>
          <w:rFonts w:ascii="Trebuchet MS" w:hAnsi="Trebuchet MS" w:cs="ArialMT"/>
          <w:color w:val="000000"/>
          <w:sz w:val="24"/>
          <w:szCs w:val="24"/>
        </w:rPr>
        <w:t xml:space="preserve">to </w:t>
      </w:r>
      <w:r w:rsidR="00604EC6">
        <w:rPr>
          <w:rFonts w:ascii="Trebuchet MS" w:hAnsi="Trebuchet MS" w:cs="ArialMT"/>
          <w:color w:val="000000"/>
          <w:sz w:val="24"/>
          <w:szCs w:val="24"/>
        </w:rPr>
        <w:t>the integrity of the clinical trial</w:t>
      </w:r>
      <w:r>
        <w:rPr>
          <w:rFonts w:ascii="Trebuchet MS" w:hAnsi="Trebuchet MS" w:cs="ArialMT"/>
          <w:color w:val="000000"/>
          <w:sz w:val="24"/>
          <w:szCs w:val="24"/>
        </w:rPr>
        <w:t xml:space="preserve">. </w:t>
      </w:r>
      <w:r w:rsidR="002C2B2F" w:rsidRPr="002C2B2F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7F9F8F5D" w14:textId="48415865" w:rsidR="00065D0B" w:rsidRDefault="00065D0B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25C2D07C" w14:textId="77777777" w:rsidR="00065D0B" w:rsidRDefault="00065D0B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A0BC1B8" w14:textId="77777777" w:rsidR="005805AB" w:rsidRDefault="005805AB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5D22FF9D" w14:textId="16126079" w:rsidR="00065D0B" w:rsidRPr="002C2B2F" w:rsidRDefault="00B52D8F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b/>
          <w:i/>
          <w:color w:val="000000"/>
          <w:sz w:val="28"/>
          <w:szCs w:val="28"/>
        </w:rPr>
        <w:t>T</w:t>
      </w:r>
      <w:r w:rsidR="00C74ECD">
        <w:rPr>
          <w:rFonts w:ascii="Trebuchet MS" w:hAnsi="Trebuchet MS" w:cs="ArialMT"/>
          <w:b/>
          <w:i/>
          <w:color w:val="000000"/>
          <w:sz w:val="28"/>
          <w:szCs w:val="28"/>
        </w:rPr>
        <w:t>ypes of adaptive changes to a</w:t>
      </w:r>
      <w:r w:rsidR="00C74ECD" w:rsidRPr="00C74ECD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clinical trial</w:t>
      </w:r>
      <w:r w:rsidR="00065D0B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</w:t>
      </w:r>
    </w:p>
    <w:p w14:paraId="2E27640C" w14:textId="77777777" w:rsidR="008C335E" w:rsidRDefault="008C335E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4619118" w14:textId="4C3A7C7D" w:rsidR="004A42E2" w:rsidRDefault="00EE4835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Both t</w:t>
      </w:r>
      <w:r w:rsidR="008C335E">
        <w:rPr>
          <w:rFonts w:ascii="Trebuchet MS" w:hAnsi="Trebuchet MS" w:cs="ArialMT"/>
          <w:color w:val="000000"/>
          <w:sz w:val="24"/>
          <w:szCs w:val="24"/>
        </w:rPr>
        <w:t xml:space="preserve">he 2010 and 2018 </w:t>
      </w:r>
      <w:r w:rsidR="00E56301">
        <w:rPr>
          <w:rFonts w:ascii="Trebuchet MS" w:hAnsi="Trebuchet MS" w:cs="ArialMT"/>
          <w:color w:val="000000"/>
          <w:sz w:val="24"/>
          <w:szCs w:val="24"/>
        </w:rPr>
        <w:t xml:space="preserve">initiatives </w:t>
      </w:r>
      <w:r w:rsidR="005446FB">
        <w:rPr>
          <w:rFonts w:ascii="Trebuchet MS" w:hAnsi="Trebuchet MS" w:cs="ArialMT"/>
          <w:color w:val="000000"/>
          <w:sz w:val="24"/>
          <w:szCs w:val="24"/>
        </w:rPr>
        <w:t>break</w:t>
      </w:r>
      <w:r w:rsidR="00637005">
        <w:rPr>
          <w:rFonts w:ascii="Trebuchet MS" w:hAnsi="Trebuchet MS" w:cs="ArialMT"/>
          <w:color w:val="000000"/>
          <w:sz w:val="24"/>
          <w:szCs w:val="24"/>
        </w:rPr>
        <w:t xml:space="preserve"> down </w:t>
      </w:r>
      <w:r w:rsidR="009201A9">
        <w:rPr>
          <w:rFonts w:ascii="Trebuchet MS" w:hAnsi="Trebuchet MS" w:cs="ArialMT"/>
          <w:color w:val="000000"/>
          <w:sz w:val="24"/>
          <w:szCs w:val="24"/>
        </w:rPr>
        <w:t xml:space="preserve">adaptive changes </w:t>
      </w:r>
      <w:r w:rsidR="005935C6">
        <w:rPr>
          <w:rFonts w:ascii="Trebuchet MS" w:hAnsi="Trebuchet MS" w:cs="ArialMT"/>
          <w:color w:val="000000"/>
          <w:sz w:val="24"/>
          <w:szCs w:val="24"/>
        </w:rPr>
        <w:t xml:space="preserve">into </w:t>
      </w:r>
      <w:r w:rsidR="006F3C36">
        <w:rPr>
          <w:rFonts w:ascii="Trebuchet MS" w:hAnsi="Trebuchet MS" w:cs="ArialMT"/>
          <w:color w:val="000000"/>
          <w:sz w:val="24"/>
          <w:szCs w:val="24"/>
        </w:rPr>
        <w:t xml:space="preserve">medical and </w:t>
      </w:r>
      <w:r w:rsidR="005935C6">
        <w:rPr>
          <w:rFonts w:ascii="Trebuchet MS" w:hAnsi="Trebuchet MS" w:cs="ArialMT"/>
          <w:color w:val="000000"/>
          <w:sz w:val="24"/>
          <w:szCs w:val="24"/>
        </w:rPr>
        <w:t>statistical</w:t>
      </w:r>
      <w:r>
        <w:rPr>
          <w:rFonts w:ascii="Trebuchet MS" w:hAnsi="Trebuchet MS" w:cs="ArialMT"/>
          <w:color w:val="000000"/>
          <w:sz w:val="24"/>
          <w:szCs w:val="24"/>
        </w:rPr>
        <w:t xml:space="preserve"> types</w:t>
      </w:r>
      <w:r w:rsidR="005935C6">
        <w:rPr>
          <w:rFonts w:ascii="Trebuchet MS" w:hAnsi="Trebuchet MS" w:cs="ArialMT"/>
          <w:color w:val="000000"/>
          <w:sz w:val="24"/>
          <w:szCs w:val="24"/>
        </w:rPr>
        <w:t xml:space="preserve">. The medical </w:t>
      </w:r>
      <w:r w:rsidR="003971DF">
        <w:rPr>
          <w:rFonts w:ascii="Trebuchet MS" w:hAnsi="Trebuchet MS" w:cs="ArialMT"/>
          <w:color w:val="000000"/>
          <w:sz w:val="24"/>
          <w:szCs w:val="24"/>
        </w:rPr>
        <w:t>type</w:t>
      </w:r>
      <w:r w:rsidR="004677B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5935C6">
        <w:rPr>
          <w:rFonts w:ascii="Trebuchet MS" w:hAnsi="Trebuchet MS" w:cs="ArialMT"/>
          <w:color w:val="000000"/>
          <w:sz w:val="24"/>
          <w:szCs w:val="24"/>
        </w:rPr>
        <w:t>include</w:t>
      </w:r>
      <w:r w:rsidR="00551D91">
        <w:rPr>
          <w:rFonts w:ascii="Trebuchet MS" w:hAnsi="Trebuchet MS" w:cs="ArialMT"/>
          <w:color w:val="000000"/>
          <w:sz w:val="24"/>
          <w:szCs w:val="24"/>
        </w:rPr>
        <w:t>s</w:t>
      </w:r>
      <w:r w:rsidR="005935C6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37005">
        <w:rPr>
          <w:rFonts w:ascii="Trebuchet MS" w:hAnsi="Trebuchet MS" w:cs="ArialMT"/>
          <w:color w:val="000000"/>
          <w:sz w:val="24"/>
          <w:szCs w:val="24"/>
        </w:rPr>
        <w:t xml:space="preserve">adaptively </w:t>
      </w:r>
      <w:r w:rsidR="005935C6">
        <w:rPr>
          <w:rFonts w:ascii="Trebuchet MS" w:hAnsi="Trebuchet MS" w:cs="ArialMT"/>
          <w:color w:val="000000"/>
          <w:sz w:val="24"/>
          <w:szCs w:val="24"/>
        </w:rPr>
        <w:t xml:space="preserve">changing the primary </w:t>
      </w:r>
      <w:r w:rsidR="004A42E2">
        <w:rPr>
          <w:rFonts w:ascii="Trebuchet MS" w:hAnsi="Trebuchet MS" w:cs="ArialMT"/>
          <w:color w:val="000000"/>
          <w:sz w:val="24"/>
          <w:szCs w:val="24"/>
        </w:rPr>
        <w:t>endpoint, dosage</w:t>
      </w:r>
      <w:r w:rsidR="006F3C36">
        <w:rPr>
          <w:rFonts w:ascii="Trebuchet MS" w:hAnsi="Trebuchet MS" w:cs="ArialMT"/>
          <w:color w:val="000000"/>
          <w:sz w:val="24"/>
          <w:szCs w:val="24"/>
        </w:rPr>
        <w:t xml:space="preserve"> level, </w:t>
      </w:r>
      <w:r w:rsidR="004677B8">
        <w:rPr>
          <w:rFonts w:ascii="Trebuchet MS" w:hAnsi="Trebuchet MS" w:cs="ArialMT"/>
          <w:color w:val="000000"/>
          <w:sz w:val="24"/>
          <w:szCs w:val="24"/>
        </w:rPr>
        <w:t>or</w:t>
      </w:r>
      <w:r w:rsidR="006F3C36">
        <w:rPr>
          <w:rFonts w:ascii="Trebuchet MS" w:hAnsi="Trebuchet MS" w:cs="ArialMT"/>
          <w:color w:val="000000"/>
          <w:sz w:val="24"/>
          <w:szCs w:val="24"/>
        </w:rPr>
        <w:t xml:space="preserve"> treatment arms. The statistical </w:t>
      </w:r>
      <w:r w:rsidR="003971DF">
        <w:rPr>
          <w:rFonts w:ascii="Trebuchet MS" w:hAnsi="Trebuchet MS" w:cs="ArialMT"/>
          <w:color w:val="000000"/>
          <w:sz w:val="24"/>
          <w:szCs w:val="24"/>
        </w:rPr>
        <w:t>type</w:t>
      </w:r>
      <w:r w:rsidR="00637005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F3C36">
        <w:rPr>
          <w:rFonts w:ascii="Trebuchet MS" w:hAnsi="Trebuchet MS" w:cs="ArialMT"/>
          <w:color w:val="000000"/>
          <w:sz w:val="24"/>
          <w:szCs w:val="24"/>
        </w:rPr>
        <w:t>include</w:t>
      </w:r>
      <w:r w:rsidR="00551D91">
        <w:rPr>
          <w:rFonts w:ascii="Trebuchet MS" w:hAnsi="Trebuchet MS" w:cs="ArialMT"/>
          <w:color w:val="000000"/>
          <w:sz w:val="24"/>
          <w:szCs w:val="24"/>
        </w:rPr>
        <w:t>s</w:t>
      </w:r>
      <w:r w:rsidR="004A42E2">
        <w:rPr>
          <w:rFonts w:ascii="Trebuchet MS" w:hAnsi="Trebuchet MS" w:cs="ArialMT"/>
          <w:color w:val="000000"/>
          <w:sz w:val="24"/>
          <w:szCs w:val="24"/>
        </w:rPr>
        <w:t xml:space="preserve"> adaptively </w:t>
      </w:r>
      <w:r w:rsidR="00DA7881">
        <w:rPr>
          <w:rFonts w:ascii="Trebuchet MS" w:hAnsi="Trebuchet MS" w:cs="ArialMT"/>
          <w:color w:val="000000"/>
          <w:sz w:val="24"/>
          <w:szCs w:val="24"/>
        </w:rPr>
        <w:t xml:space="preserve">changing the </w:t>
      </w:r>
      <w:r w:rsidR="004A42E2">
        <w:rPr>
          <w:rFonts w:ascii="Trebuchet MS" w:hAnsi="Trebuchet MS" w:cs="ArialMT"/>
          <w:color w:val="000000"/>
          <w:sz w:val="24"/>
          <w:szCs w:val="24"/>
        </w:rPr>
        <w:t xml:space="preserve">sample size, the power of the test, </w:t>
      </w:r>
      <w:r w:rsidR="00E42C88">
        <w:rPr>
          <w:rFonts w:ascii="Trebuchet MS" w:hAnsi="Trebuchet MS" w:cs="ArialMT"/>
          <w:color w:val="000000"/>
          <w:sz w:val="24"/>
          <w:szCs w:val="24"/>
        </w:rPr>
        <w:t>or</w:t>
      </w:r>
      <w:r w:rsidR="004A42E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5446FB">
        <w:rPr>
          <w:rFonts w:ascii="Trebuchet MS" w:hAnsi="Trebuchet MS" w:cs="ArialMT"/>
          <w:color w:val="000000"/>
          <w:sz w:val="24"/>
          <w:szCs w:val="24"/>
        </w:rPr>
        <w:t xml:space="preserve">analytical </w:t>
      </w:r>
      <w:r w:rsidR="007505E3">
        <w:rPr>
          <w:rFonts w:ascii="Trebuchet MS" w:hAnsi="Trebuchet MS" w:cs="ArialMT"/>
          <w:color w:val="000000"/>
          <w:sz w:val="24"/>
          <w:szCs w:val="24"/>
        </w:rPr>
        <w:t>methods to evaluate endpoints</w:t>
      </w:r>
      <w:r w:rsidR="004A42E2">
        <w:rPr>
          <w:rFonts w:ascii="Trebuchet MS" w:hAnsi="Trebuchet MS" w:cs="ArialMT"/>
          <w:color w:val="000000"/>
          <w:sz w:val="24"/>
          <w:szCs w:val="24"/>
        </w:rPr>
        <w:t xml:space="preserve">. 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6D1099">
        <w:rPr>
          <w:rFonts w:ascii="Trebuchet MS" w:hAnsi="Trebuchet MS" w:cs="ArialMT"/>
          <w:color w:val="000000"/>
          <w:sz w:val="24"/>
          <w:szCs w:val="24"/>
        </w:rPr>
        <w:t>T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he intentions and </w:t>
      </w:r>
      <w:r w:rsidR="008C1C01">
        <w:rPr>
          <w:rFonts w:ascii="Trebuchet MS" w:hAnsi="Trebuchet MS" w:cs="ArialMT"/>
          <w:color w:val="000000"/>
          <w:sz w:val="24"/>
          <w:szCs w:val="24"/>
        </w:rPr>
        <w:t xml:space="preserve">detailed 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rules for making </w:t>
      </w:r>
      <w:r w:rsidR="002351A0">
        <w:rPr>
          <w:rFonts w:ascii="Trebuchet MS" w:hAnsi="Trebuchet MS" w:cs="ArialMT"/>
          <w:color w:val="000000"/>
          <w:sz w:val="24"/>
          <w:szCs w:val="24"/>
        </w:rPr>
        <w:t xml:space="preserve">either type of 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change would have to be pre-specified </w:t>
      </w:r>
      <w:r w:rsidR="00B40A7B">
        <w:rPr>
          <w:rFonts w:ascii="Trebuchet MS" w:hAnsi="Trebuchet MS" w:cs="ArialMT"/>
          <w:color w:val="000000"/>
          <w:sz w:val="24"/>
          <w:szCs w:val="24"/>
        </w:rPr>
        <w:t xml:space="preserve">in detail 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before </w:t>
      </w:r>
      <w:r w:rsidR="005446FB">
        <w:rPr>
          <w:rFonts w:ascii="Trebuchet MS" w:hAnsi="Trebuchet MS" w:cs="ArialMT"/>
          <w:color w:val="000000"/>
          <w:sz w:val="24"/>
          <w:szCs w:val="24"/>
        </w:rPr>
        <w:t>a</w:t>
      </w:r>
      <w:r w:rsidR="00C43AF0">
        <w:rPr>
          <w:rFonts w:ascii="Trebuchet MS" w:hAnsi="Trebuchet MS" w:cs="ArialMT"/>
          <w:color w:val="000000"/>
          <w:sz w:val="24"/>
          <w:szCs w:val="24"/>
        </w:rPr>
        <w:t xml:space="preserve"> trial begins.</w:t>
      </w:r>
      <w:r w:rsidR="00B40A7B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401C5F9C" w14:textId="1B8CAE27" w:rsidR="00FB7389" w:rsidRDefault="00FB738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39603264" w14:textId="77777777" w:rsidR="00903417" w:rsidRDefault="00903417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228B9EBD" w14:textId="450F4145" w:rsidR="00DA7881" w:rsidRDefault="00BB5B5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  <w:r>
        <w:rPr>
          <w:rFonts w:ascii="Trebuchet MS" w:hAnsi="Trebuchet MS" w:cs="ArialMT"/>
          <w:b/>
          <w:i/>
          <w:color w:val="000000"/>
          <w:sz w:val="28"/>
          <w:szCs w:val="28"/>
        </w:rPr>
        <w:t>An example of a</w:t>
      </w:r>
      <w:r w:rsidR="00D71D4A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daptive </w:t>
      </w:r>
      <w:r w:rsidR="004677B8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treatment arms </w:t>
      </w:r>
      <w:r w:rsidR="00327613">
        <w:rPr>
          <w:rFonts w:ascii="Trebuchet MS" w:hAnsi="Trebuchet MS" w:cs="ArialMT"/>
          <w:b/>
          <w:i/>
          <w:color w:val="000000"/>
          <w:sz w:val="28"/>
          <w:szCs w:val="28"/>
        </w:rPr>
        <w:t>for a</w:t>
      </w:r>
      <w:r w:rsidR="004677B8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clinical trial   </w:t>
      </w:r>
    </w:p>
    <w:p w14:paraId="0D9DF1AD" w14:textId="42A239F1" w:rsidR="004677B8" w:rsidRDefault="004677B8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6D2328C6" w14:textId="0F47609C" w:rsidR="00CB1E82" w:rsidRDefault="001D64FC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>To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E42C88">
        <w:rPr>
          <w:rFonts w:ascii="Trebuchet MS" w:hAnsi="Trebuchet MS" w:cs="ArialMT"/>
          <w:color w:val="000000"/>
          <w:sz w:val="24"/>
          <w:szCs w:val="24"/>
        </w:rPr>
        <w:t>chang</w:t>
      </w:r>
      <w:r>
        <w:rPr>
          <w:rFonts w:ascii="Trebuchet MS" w:hAnsi="Trebuchet MS" w:cs="ArialMT"/>
          <w:color w:val="000000"/>
          <w:sz w:val="24"/>
          <w:szCs w:val="24"/>
        </w:rPr>
        <w:t>e</w:t>
      </w:r>
      <w:r w:rsidR="00E42C88">
        <w:rPr>
          <w:rFonts w:ascii="Trebuchet MS" w:hAnsi="Trebuchet MS" w:cs="ArialMT"/>
          <w:color w:val="000000"/>
          <w:sz w:val="24"/>
          <w:szCs w:val="24"/>
        </w:rPr>
        <w:t xml:space="preserve"> treatment arms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827560">
        <w:rPr>
          <w:rFonts w:ascii="Trebuchet MS" w:hAnsi="Trebuchet MS" w:cs="ArialMT"/>
          <w:color w:val="000000"/>
          <w:sz w:val="24"/>
          <w:szCs w:val="24"/>
        </w:rPr>
        <w:t xml:space="preserve">with </w:t>
      </w:r>
      <w:r>
        <w:rPr>
          <w:rFonts w:ascii="Trebuchet MS" w:hAnsi="Trebuchet MS" w:cs="ArialMT"/>
          <w:color w:val="000000"/>
          <w:sz w:val="24"/>
          <w:szCs w:val="24"/>
        </w:rPr>
        <w:t xml:space="preserve">the baseline </w:t>
      </w:r>
      <w:r w:rsidR="00827560">
        <w:rPr>
          <w:rFonts w:ascii="Trebuchet MS" w:hAnsi="Trebuchet MS" w:cs="ArialMT"/>
          <w:color w:val="000000"/>
          <w:sz w:val="24"/>
          <w:szCs w:val="24"/>
        </w:rPr>
        <w:t>data</w:t>
      </w:r>
      <w:r w:rsidR="0001487A">
        <w:rPr>
          <w:rFonts w:ascii="Trebuchet MS" w:hAnsi="Trebuchet MS" w:cs="ArialMT"/>
          <w:color w:val="000000"/>
          <w:sz w:val="24"/>
          <w:szCs w:val="24"/>
        </w:rPr>
        <w:t>,</w:t>
      </w:r>
      <w:r w:rsidR="00E42C88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D3490B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96400D">
        <w:rPr>
          <w:rFonts w:ascii="Trebuchet MS" w:hAnsi="Trebuchet MS" w:cs="ArialMT"/>
          <w:color w:val="000000"/>
          <w:sz w:val="24"/>
          <w:szCs w:val="24"/>
        </w:rPr>
        <w:t>author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 wrote:</w:t>
      </w:r>
      <w:r w:rsidR="00D3490B">
        <w:rPr>
          <w:rFonts w:ascii="Trebuchet MS" w:hAnsi="Trebuchet MS" w:cs="ArialMT"/>
          <w:color w:val="000000"/>
          <w:sz w:val="24"/>
          <w:szCs w:val="24"/>
        </w:rPr>
        <w:t xml:space="preserve"> “The Case for APBD Trials with Two Arms,” January 15, 2018; </w:t>
      </w:r>
      <w:r w:rsidR="004B5641">
        <w:rPr>
          <w:rFonts w:ascii="Trebuchet MS" w:hAnsi="Trebuchet MS" w:cs="ArialMT"/>
          <w:color w:val="000000"/>
          <w:sz w:val="24"/>
          <w:szCs w:val="24"/>
        </w:rPr>
        <w:t xml:space="preserve">see </w:t>
      </w:r>
      <w:r w:rsidR="00D3490B">
        <w:rPr>
          <w:rFonts w:ascii="Trebuchet MS" w:hAnsi="Trebuchet MS" w:cs="ArialMT"/>
          <w:color w:val="000000"/>
          <w:sz w:val="24"/>
          <w:szCs w:val="24"/>
        </w:rPr>
        <w:t>Design/protocol</w:t>
      </w:r>
      <w:r w:rsidR="004B5641">
        <w:rPr>
          <w:rFonts w:ascii="Trebuchet MS" w:hAnsi="Trebuchet MS" w:cs="ArialMT"/>
          <w:color w:val="000000"/>
          <w:sz w:val="24"/>
          <w:szCs w:val="24"/>
        </w:rPr>
        <w:t>,</w:t>
      </w:r>
    </w:p>
    <w:p w14:paraId="6B78C092" w14:textId="77777777" w:rsidR="005805AB" w:rsidRDefault="00680461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hyperlink r:id="rId8" w:history="1">
        <w:r w:rsidR="004B5641" w:rsidRPr="004B5641">
          <w:rPr>
            <w:rStyle w:val="Hyperlink"/>
            <w:rFonts w:ascii="Trebuchet MS" w:hAnsi="Trebuchet MS"/>
            <w:b/>
            <w:sz w:val="24"/>
            <w:szCs w:val="24"/>
          </w:rPr>
          <w:t>https://apbdrf.org/research/clinical-trial-considerations</w:t>
        </w:r>
      </w:hyperlink>
      <w:r w:rsidR="005805AB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6683B512" w14:textId="77777777" w:rsidR="005805AB" w:rsidRDefault="005805AB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9B13071" w14:textId="39B7C580" w:rsidR="00586836" w:rsidRDefault="00CB1E82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color w:val="000000"/>
          <w:sz w:val="24"/>
          <w:szCs w:val="24"/>
        </w:rPr>
        <w:t xml:space="preserve">Using 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1D64FC">
        <w:rPr>
          <w:rFonts w:ascii="Trebuchet MS" w:hAnsi="Trebuchet MS" w:cs="ArialMT"/>
          <w:color w:val="000000"/>
          <w:sz w:val="24"/>
          <w:szCs w:val="24"/>
        </w:rPr>
        <w:t xml:space="preserve">baseline 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data from the </w:t>
      </w:r>
      <w:r>
        <w:rPr>
          <w:rFonts w:ascii="Trebuchet MS" w:hAnsi="Trebuchet MS" w:cs="ArialMT"/>
          <w:color w:val="000000"/>
          <w:sz w:val="24"/>
          <w:szCs w:val="24"/>
        </w:rPr>
        <w:t>Phase 2 Triheptanoin Clinical Trial for APBD</w:t>
      </w:r>
      <w:r w:rsidR="0001487A">
        <w:rPr>
          <w:rFonts w:ascii="Trebuchet MS" w:hAnsi="Trebuchet MS" w:cs="ArialMT"/>
          <w:color w:val="000000"/>
          <w:sz w:val="24"/>
          <w:szCs w:val="24"/>
        </w:rPr>
        <w:t>,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9A1084">
        <w:rPr>
          <w:rFonts w:ascii="Trebuchet MS" w:hAnsi="Trebuchet MS" w:cs="ArialMT"/>
          <w:color w:val="000000"/>
          <w:sz w:val="24"/>
          <w:szCs w:val="24"/>
        </w:rPr>
        <w:t>the author</w:t>
      </w:r>
      <w:r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2769EB">
        <w:rPr>
          <w:rFonts w:ascii="Trebuchet MS" w:hAnsi="Trebuchet MS" w:cs="ArialMT"/>
          <w:color w:val="000000"/>
          <w:sz w:val="24"/>
          <w:szCs w:val="24"/>
        </w:rPr>
        <w:t>demonstrate</w:t>
      </w:r>
      <w:r w:rsidR="009A1084">
        <w:rPr>
          <w:rFonts w:ascii="Trebuchet MS" w:hAnsi="Trebuchet MS" w:cs="ArialMT"/>
          <w:color w:val="000000"/>
          <w:sz w:val="24"/>
          <w:szCs w:val="24"/>
        </w:rPr>
        <w:t>s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 how to break down </w:t>
      </w:r>
      <w:r w:rsidR="0001487A">
        <w:rPr>
          <w:rFonts w:ascii="Trebuchet MS" w:hAnsi="Trebuchet MS" w:cs="ArialMT"/>
          <w:color w:val="000000"/>
          <w:sz w:val="24"/>
          <w:szCs w:val="24"/>
        </w:rPr>
        <w:t>its</w:t>
      </w:r>
      <w:r w:rsidR="009A1084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highly heterogenous APBD </w:t>
      </w:r>
      <w:r w:rsidR="005446FB">
        <w:rPr>
          <w:rFonts w:ascii="Trebuchet MS" w:hAnsi="Trebuchet MS" w:cs="ArialMT"/>
          <w:color w:val="000000"/>
          <w:sz w:val="24"/>
          <w:szCs w:val="24"/>
        </w:rPr>
        <w:t>participants (</w:t>
      </w:r>
      <w:r w:rsidR="005446FB" w:rsidRPr="005446FB">
        <w:rPr>
          <w:rFonts w:ascii="Trebuchet MS" w:hAnsi="Trebuchet MS" w:cs="ArialMT"/>
          <w:i/>
          <w:color w:val="000000"/>
          <w:sz w:val="24"/>
          <w:szCs w:val="24"/>
        </w:rPr>
        <w:t>inter</w:t>
      </w:r>
      <w:r w:rsidR="005446FB">
        <w:rPr>
          <w:rFonts w:ascii="Trebuchet MS" w:hAnsi="Trebuchet MS" w:cs="ArialMT"/>
          <w:color w:val="000000"/>
          <w:sz w:val="24"/>
          <w:szCs w:val="24"/>
        </w:rPr>
        <w:t>-patient variability) into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 two relatively homogeneous sub-groups, “mild” and “severe</w:t>
      </w:r>
      <w:r w:rsidR="00EC60AA">
        <w:rPr>
          <w:rFonts w:ascii="Trebuchet MS" w:hAnsi="Trebuchet MS" w:cs="ArialMT"/>
          <w:color w:val="000000"/>
          <w:sz w:val="24"/>
          <w:szCs w:val="24"/>
        </w:rPr>
        <w:t>.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”  This is accomplished by applying the statistical technique of cluster analysis to the </w:t>
      </w:r>
      <w:r w:rsidR="00400C36">
        <w:rPr>
          <w:rFonts w:ascii="Trebuchet MS" w:hAnsi="Trebuchet MS" w:cs="ArialMT"/>
          <w:color w:val="000000"/>
          <w:sz w:val="24"/>
          <w:szCs w:val="24"/>
        </w:rPr>
        <w:t xml:space="preserve">baseline </w:t>
      </w:r>
      <w:r w:rsidR="002769EB">
        <w:rPr>
          <w:rFonts w:ascii="Trebuchet MS" w:hAnsi="Trebuchet MS" w:cs="ArialMT"/>
          <w:color w:val="000000"/>
          <w:sz w:val="24"/>
          <w:szCs w:val="24"/>
        </w:rPr>
        <w:t>age</w:t>
      </w:r>
      <w:r w:rsidR="003971DF">
        <w:rPr>
          <w:rFonts w:ascii="Trebuchet MS" w:hAnsi="Trebuchet MS" w:cs="ArialMT"/>
          <w:color w:val="000000"/>
          <w:sz w:val="24"/>
          <w:szCs w:val="24"/>
        </w:rPr>
        <w:t>s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 of the participant</w:t>
      </w:r>
      <w:r w:rsidR="003971DF">
        <w:rPr>
          <w:rFonts w:ascii="Trebuchet MS" w:hAnsi="Trebuchet MS" w:cs="ArialMT"/>
          <w:color w:val="000000"/>
          <w:sz w:val="24"/>
          <w:szCs w:val="24"/>
        </w:rPr>
        <w:t>s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 and </w:t>
      </w:r>
      <w:r w:rsidR="00744FA8">
        <w:rPr>
          <w:rFonts w:ascii="Trebuchet MS" w:hAnsi="Trebuchet MS" w:cs="ArialMT"/>
          <w:color w:val="000000"/>
          <w:sz w:val="24"/>
          <w:szCs w:val="24"/>
        </w:rPr>
        <w:t xml:space="preserve">to </w:t>
      </w:r>
      <w:r w:rsidR="003971DF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6755CA">
        <w:rPr>
          <w:rFonts w:ascii="Trebuchet MS" w:hAnsi="Trebuchet MS" w:cs="ArialMT"/>
          <w:color w:val="000000"/>
          <w:sz w:val="24"/>
          <w:szCs w:val="24"/>
        </w:rPr>
        <w:t xml:space="preserve">primary endpoint, 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distances </w:t>
      </w:r>
      <w:r w:rsidR="000367D6">
        <w:rPr>
          <w:rFonts w:ascii="Trebuchet MS" w:hAnsi="Trebuchet MS" w:cs="ArialMT"/>
          <w:color w:val="000000"/>
          <w:sz w:val="24"/>
          <w:szCs w:val="24"/>
        </w:rPr>
        <w:t xml:space="preserve">they </w:t>
      </w:r>
      <w:r w:rsidR="007C6C56">
        <w:rPr>
          <w:rFonts w:ascii="Trebuchet MS" w:hAnsi="Trebuchet MS" w:cs="ArialMT"/>
          <w:color w:val="000000"/>
          <w:sz w:val="24"/>
          <w:szCs w:val="24"/>
        </w:rPr>
        <w:t xml:space="preserve">cover </w:t>
      </w:r>
      <w:r w:rsidR="000367D6">
        <w:rPr>
          <w:rFonts w:ascii="Trebuchet MS" w:hAnsi="Trebuchet MS" w:cs="ArialMT"/>
          <w:color w:val="000000"/>
          <w:sz w:val="24"/>
          <w:szCs w:val="24"/>
        </w:rPr>
        <w:t>in</w:t>
      </w:r>
      <w:r w:rsidR="0001487A">
        <w:rPr>
          <w:rFonts w:ascii="Trebuchet MS" w:hAnsi="Trebuchet MS" w:cs="ArialMT"/>
          <w:color w:val="000000"/>
          <w:sz w:val="24"/>
          <w:szCs w:val="24"/>
        </w:rPr>
        <w:t xml:space="preserve"> a </w:t>
      </w:r>
      <w:r w:rsidR="00043E46">
        <w:rPr>
          <w:rFonts w:ascii="Trebuchet MS" w:hAnsi="Trebuchet MS" w:cs="ArialMT"/>
          <w:color w:val="000000"/>
          <w:sz w:val="24"/>
          <w:szCs w:val="24"/>
        </w:rPr>
        <w:t>six-minute walk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. </w:t>
      </w:r>
      <w:r w:rsidR="004124FB">
        <w:rPr>
          <w:rFonts w:ascii="Trebuchet MS" w:hAnsi="Trebuchet MS" w:cs="ArialMT"/>
          <w:color w:val="000000"/>
          <w:sz w:val="24"/>
          <w:szCs w:val="24"/>
        </w:rPr>
        <w:t>T</w:t>
      </w:r>
      <w:r w:rsidR="00746506">
        <w:rPr>
          <w:rFonts w:ascii="Trebuchet MS" w:hAnsi="Trebuchet MS" w:cs="ArialMT"/>
          <w:color w:val="000000"/>
          <w:sz w:val="24"/>
          <w:szCs w:val="24"/>
        </w:rPr>
        <w:t xml:space="preserve">he </w:t>
      </w:r>
      <w:r w:rsidR="005805AB">
        <w:rPr>
          <w:rFonts w:ascii="Trebuchet MS" w:hAnsi="Trebuchet MS" w:cs="ArialMT"/>
          <w:color w:val="000000"/>
          <w:sz w:val="24"/>
          <w:szCs w:val="24"/>
        </w:rPr>
        <w:t xml:space="preserve">two-armed trial </w:t>
      </w:r>
      <w:r w:rsidR="00744FA8">
        <w:rPr>
          <w:rFonts w:ascii="Trebuchet MS" w:hAnsi="Trebuchet MS" w:cs="ArialMT"/>
          <w:color w:val="000000"/>
          <w:sz w:val="24"/>
          <w:szCs w:val="24"/>
        </w:rPr>
        <w:t>w</w:t>
      </w:r>
      <w:r w:rsidR="004124FB">
        <w:rPr>
          <w:rFonts w:ascii="Trebuchet MS" w:hAnsi="Trebuchet MS" w:cs="ArialMT"/>
          <w:color w:val="000000"/>
          <w:sz w:val="24"/>
          <w:szCs w:val="24"/>
        </w:rPr>
        <w:t xml:space="preserve">ould </w:t>
      </w:r>
      <w:r w:rsidR="00744FA8">
        <w:rPr>
          <w:rFonts w:ascii="Trebuchet MS" w:hAnsi="Trebuchet MS" w:cs="ArialMT"/>
          <w:color w:val="000000"/>
          <w:sz w:val="24"/>
          <w:szCs w:val="24"/>
        </w:rPr>
        <w:t xml:space="preserve">not only show </w:t>
      </w:r>
      <w:r w:rsidR="0036071E">
        <w:rPr>
          <w:rFonts w:ascii="Trebuchet MS" w:hAnsi="Trebuchet MS" w:cs="ArialMT"/>
          <w:color w:val="000000"/>
          <w:sz w:val="24"/>
          <w:szCs w:val="24"/>
        </w:rPr>
        <w:t xml:space="preserve">the treatment effect </w:t>
      </w:r>
      <w:r w:rsidR="00744FA8">
        <w:rPr>
          <w:rFonts w:ascii="Trebuchet MS" w:hAnsi="Trebuchet MS" w:cs="ArialMT"/>
          <w:color w:val="000000"/>
          <w:sz w:val="24"/>
          <w:szCs w:val="24"/>
        </w:rPr>
        <w:t xml:space="preserve">for the aggregate, as the one-armed study does, but also </w:t>
      </w:r>
      <w:r w:rsidR="006755CA">
        <w:rPr>
          <w:rFonts w:ascii="Trebuchet MS" w:hAnsi="Trebuchet MS" w:cs="ArialMT"/>
          <w:color w:val="000000"/>
          <w:sz w:val="24"/>
          <w:szCs w:val="24"/>
        </w:rPr>
        <w:t xml:space="preserve">the treatment effect </w:t>
      </w:r>
      <w:r w:rsidR="00744FA8">
        <w:rPr>
          <w:rFonts w:ascii="Trebuchet MS" w:hAnsi="Trebuchet MS" w:cs="ArialMT"/>
          <w:color w:val="000000"/>
          <w:sz w:val="24"/>
          <w:szCs w:val="24"/>
        </w:rPr>
        <w:t>for</w:t>
      </w:r>
      <w:r w:rsidR="00400C36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7C6C56">
        <w:rPr>
          <w:rFonts w:ascii="Trebuchet MS" w:hAnsi="Trebuchet MS" w:cs="ArialMT"/>
          <w:color w:val="000000"/>
          <w:sz w:val="24"/>
          <w:szCs w:val="24"/>
        </w:rPr>
        <w:t>e</w:t>
      </w:r>
      <w:r w:rsidR="00744FA8">
        <w:rPr>
          <w:rFonts w:ascii="Trebuchet MS" w:hAnsi="Trebuchet MS" w:cs="ArialMT"/>
          <w:color w:val="000000"/>
          <w:sz w:val="24"/>
          <w:szCs w:val="24"/>
        </w:rPr>
        <w:t xml:space="preserve">ach of the two sub-groups. </w:t>
      </w:r>
      <w:r w:rsidR="004E06B1">
        <w:rPr>
          <w:rFonts w:ascii="Trebuchet MS" w:hAnsi="Trebuchet MS" w:cs="ArialMT"/>
          <w:color w:val="000000"/>
          <w:sz w:val="24"/>
          <w:szCs w:val="24"/>
        </w:rPr>
        <w:t>A</w:t>
      </w:r>
      <w:r w:rsidR="00D81CAE">
        <w:rPr>
          <w:rFonts w:ascii="Trebuchet MS" w:hAnsi="Trebuchet MS" w:cs="ArialMT"/>
          <w:color w:val="000000"/>
          <w:sz w:val="24"/>
          <w:szCs w:val="24"/>
        </w:rPr>
        <w:t xml:space="preserve"> statistician and principal medical person should </w:t>
      </w:r>
      <w:r w:rsidR="005805AB">
        <w:rPr>
          <w:rFonts w:ascii="Trebuchet MS" w:hAnsi="Trebuchet MS" w:cs="ArialMT"/>
          <w:color w:val="000000"/>
          <w:sz w:val="24"/>
          <w:szCs w:val="24"/>
        </w:rPr>
        <w:t xml:space="preserve">be </w:t>
      </w:r>
      <w:r w:rsidR="00D81CAE">
        <w:rPr>
          <w:rFonts w:ascii="Trebuchet MS" w:hAnsi="Trebuchet MS" w:cs="ArialMT"/>
          <w:color w:val="000000"/>
          <w:sz w:val="24"/>
          <w:szCs w:val="24"/>
        </w:rPr>
        <w:t>co-investigat</w:t>
      </w:r>
      <w:r w:rsidR="005805AB">
        <w:rPr>
          <w:rFonts w:ascii="Trebuchet MS" w:hAnsi="Trebuchet MS" w:cs="ArialMT"/>
          <w:color w:val="000000"/>
          <w:sz w:val="24"/>
          <w:szCs w:val="24"/>
        </w:rPr>
        <w:t>ors</w:t>
      </w:r>
      <w:r w:rsidR="00D81CAE">
        <w:rPr>
          <w:rFonts w:ascii="Trebuchet MS" w:hAnsi="Trebuchet MS" w:cs="ArialMT"/>
          <w:color w:val="000000"/>
          <w:sz w:val="24"/>
          <w:szCs w:val="24"/>
        </w:rPr>
        <w:t xml:space="preserve"> to prespecify </w:t>
      </w:r>
      <w:r w:rsidR="00ED06EB">
        <w:rPr>
          <w:rFonts w:ascii="Trebuchet MS" w:hAnsi="Trebuchet MS" w:cs="ArialMT"/>
          <w:color w:val="000000"/>
          <w:sz w:val="24"/>
          <w:szCs w:val="24"/>
        </w:rPr>
        <w:t xml:space="preserve">the </w:t>
      </w:r>
      <w:r w:rsidR="00D070AC">
        <w:rPr>
          <w:rFonts w:ascii="Trebuchet MS" w:hAnsi="Trebuchet MS" w:cs="ArialMT"/>
          <w:color w:val="000000"/>
          <w:sz w:val="24"/>
          <w:szCs w:val="24"/>
        </w:rPr>
        <w:t xml:space="preserve">intentions and detailed </w:t>
      </w:r>
      <w:r w:rsidR="008728BC">
        <w:rPr>
          <w:rFonts w:ascii="Trebuchet MS" w:hAnsi="Trebuchet MS" w:cs="ArialMT"/>
          <w:color w:val="000000"/>
          <w:sz w:val="24"/>
          <w:szCs w:val="24"/>
        </w:rPr>
        <w:t xml:space="preserve">statistical </w:t>
      </w:r>
      <w:r w:rsidR="00D979FA">
        <w:rPr>
          <w:rFonts w:ascii="Trebuchet MS" w:hAnsi="Trebuchet MS" w:cs="ArialMT"/>
          <w:color w:val="000000"/>
          <w:sz w:val="24"/>
          <w:szCs w:val="24"/>
        </w:rPr>
        <w:t xml:space="preserve">and medical </w:t>
      </w:r>
      <w:r w:rsidR="00D070AC">
        <w:rPr>
          <w:rFonts w:ascii="Trebuchet MS" w:hAnsi="Trebuchet MS" w:cs="ArialMT"/>
          <w:color w:val="000000"/>
          <w:sz w:val="24"/>
          <w:szCs w:val="24"/>
        </w:rPr>
        <w:t xml:space="preserve">rules </w:t>
      </w:r>
      <w:r w:rsidR="00385422">
        <w:rPr>
          <w:rFonts w:ascii="Trebuchet MS" w:hAnsi="Trebuchet MS" w:cs="ArialMT"/>
          <w:color w:val="000000"/>
          <w:sz w:val="24"/>
          <w:szCs w:val="24"/>
        </w:rPr>
        <w:t>for</w:t>
      </w:r>
      <w:r w:rsidR="008C1C01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781FDF">
        <w:rPr>
          <w:rFonts w:ascii="Trebuchet MS" w:hAnsi="Trebuchet MS" w:cs="ArialMT"/>
          <w:color w:val="000000"/>
          <w:sz w:val="24"/>
          <w:szCs w:val="24"/>
        </w:rPr>
        <w:t xml:space="preserve">making such a </w:t>
      </w:r>
      <w:r w:rsidR="00D070AC">
        <w:rPr>
          <w:rFonts w:ascii="Trebuchet MS" w:hAnsi="Trebuchet MS" w:cs="ArialMT"/>
          <w:color w:val="000000"/>
          <w:sz w:val="24"/>
          <w:szCs w:val="24"/>
        </w:rPr>
        <w:t>chang</w:t>
      </w:r>
      <w:r w:rsidR="00781FDF">
        <w:rPr>
          <w:rFonts w:ascii="Trebuchet MS" w:hAnsi="Trebuchet MS" w:cs="ArialMT"/>
          <w:color w:val="000000"/>
          <w:sz w:val="24"/>
          <w:szCs w:val="24"/>
        </w:rPr>
        <w:t>e</w:t>
      </w:r>
      <w:r w:rsidR="00385422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B77E6F">
        <w:rPr>
          <w:rFonts w:ascii="Trebuchet MS" w:hAnsi="Trebuchet MS" w:cs="ArialMT"/>
          <w:color w:val="000000"/>
          <w:sz w:val="24"/>
          <w:szCs w:val="24"/>
        </w:rPr>
        <w:t xml:space="preserve">with </w:t>
      </w:r>
      <w:r w:rsidR="009D79A5">
        <w:rPr>
          <w:rFonts w:ascii="Trebuchet MS" w:hAnsi="Trebuchet MS" w:cs="ArialMT"/>
          <w:color w:val="000000"/>
          <w:sz w:val="24"/>
          <w:szCs w:val="24"/>
        </w:rPr>
        <w:t>the</w:t>
      </w:r>
      <w:r w:rsidR="005A2497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0B2AFF">
        <w:rPr>
          <w:rFonts w:ascii="Trebuchet MS" w:hAnsi="Trebuchet MS" w:cs="ArialMT"/>
          <w:color w:val="000000"/>
          <w:sz w:val="24"/>
          <w:szCs w:val="24"/>
        </w:rPr>
        <w:t>baseline</w:t>
      </w:r>
      <w:r w:rsidR="00D070AC">
        <w:rPr>
          <w:rFonts w:ascii="Trebuchet MS" w:hAnsi="Trebuchet MS" w:cs="ArialMT"/>
          <w:color w:val="000000"/>
          <w:sz w:val="24"/>
          <w:szCs w:val="24"/>
        </w:rPr>
        <w:t xml:space="preserve"> data</w:t>
      </w:r>
      <w:r w:rsidR="009D79A5">
        <w:rPr>
          <w:rFonts w:ascii="Trebuchet MS" w:hAnsi="Trebuchet MS" w:cs="ArialMT"/>
          <w:color w:val="000000"/>
          <w:sz w:val="24"/>
          <w:szCs w:val="24"/>
        </w:rPr>
        <w:t xml:space="preserve"> of the trial</w:t>
      </w:r>
      <w:r w:rsidR="000B2AFF">
        <w:rPr>
          <w:rFonts w:ascii="Trebuchet MS" w:hAnsi="Trebuchet MS" w:cs="ArialMT"/>
          <w:color w:val="000000"/>
          <w:sz w:val="24"/>
          <w:szCs w:val="24"/>
        </w:rPr>
        <w:t>.</w:t>
      </w:r>
      <w:r w:rsidR="00D070AC">
        <w:rPr>
          <w:rFonts w:ascii="Trebuchet MS" w:hAnsi="Trebuchet MS" w:cs="ArialMT"/>
          <w:color w:val="000000"/>
          <w:sz w:val="24"/>
          <w:szCs w:val="24"/>
        </w:rPr>
        <w:t xml:space="preserve">   </w:t>
      </w:r>
      <w:r w:rsidR="008C1C01"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="002769EB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>
        <w:rPr>
          <w:rFonts w:ascii="Trebuchet MS" w:hAnsi="Trebuchet MS" w:cs="ArialMT"/>
          <w:color w:val="000000"/>
          <w:sz w:val="24"/>
          <w:szCs w:val="24"/>
        </w:rPr>
        <w:t xml:space="preserve">  </w:t>
      </w:r>
      <w:r w:rsidR="008245AD">
        <w:rPr>
          <w:rFonts w:ascii="Trebuchet MS" w:hAnsi="Trebuchet MS" w:cs="ArialMT"/>
          <w:color w:val="000000"/>
          <w:sz w:val="24"/>
          <w:szCs w:val="24"/>
        </w:rPr>
        <w:t xml:space="preserve"> </w:t>
      </w:r>
      <w:r w:rsidR="00E42C88">
        <w:rPr>
          <w:rFonts w:ascii="Trebuchet MS" w:hAnsi="Trebuchet MS" w:cs="ArialMT"/>
          <w:color w:val="000000"/>
          <w:sz w:val="24"/>
          <w:szCs w:val="24"/>
        </w:rPr>
        <w:t xml:space="preserve">   </w:t>
      </w:r>
    </w:p>
    <w:p w14:paraId="7F01D6C5" w14:textId="54FD04E2" w:rsidR="00FB7389" w:rsidRPr="00A1763D" w:rsidRDefault="00B52D8F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>
        <w:rPr>
          <w:rFonts w:ascii="Trebuchet MS" w:hAnsi="Trebuchet MS" w:cs="ArialMT"/>
          <w:b/>
          <w:i/>
          <w:color w:val="000000"/>
          <w:sz w:val="28"/>
          <w:szCs w:val="28"/>
        </w:rPr>
        <w:lastRenderedPageBreak/>
        <w:t>E</w:t>
      </w:r>
      <w:r w:rsidR="00F127A4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xpectations </w:t>
      </w:r>
      <w:r w:rsidR="00BB5B59">
        <w:rPr>
          <w:rFonts w:ascii="Trebuchet MS" w:hAnsi="Trebuchet MS" w:cs="ArialMT"/>
          <w:b/>
          <w:i/>
          <w:color w:val="000000"/>
          <w:sz w:val="28"/>
          <w:szCs w:val="28"/>
        </w:rPr>
        <w:t>of</w:t>
      </w:r>
      <w:r w:rsidR="00DA7881" w:rsidRPr="00DA7881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</w:t>
      </w:r>
      <w:r w:rsidR="00D71D4A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an </w:t>
      </w:r>
      <w:r w:rsidR="00DA7881" w:rsidRPr="00DA7881">
        <w:rPr>
          <w:rFonts w:ascii="Trebuchet MS" w:hAnsi="Trebuchet MS" w:cs="ArialMT"/>
          <w:b/>
          <w:i/>
          <w:color w:val="000000"/>
          <w:sz w:val="28"/>
          <w:szCs w:val="28"/>
        </w:rPr>
        <w:t>adaptive clinical trial</w:t>
      </w:r>
    </w:p>
    <w:p w14:paraId="4C14E522" w14:textId="58A7163A" w:rsidR="00FC33E2" w:rsidRDefault="00FC33E2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1D0C96D9" w14:textId="30DCFA87" w:rsidR="00FC33E2" w:rsidRDefault="008728BC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According to the FDA, d</w:t>
      </w:r>
      <w:r w:rsidR="00DA7881">
        <w:rPr>
          <w:rFonts w:ascii="Trebuchet MS" w:hAnsi="Trebuchet MS"/>
          <w:color w:val="000000"/>
          <w:sz w:val="24"/>
          <w:szCs w:val="24"/>
        </w:rPr>
        <w:t xml:space="preserve">rug developers 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 xml:space="preserve">believe </w:t>
      </w:r>
      <w:r w:rsidR="00DA7881">
        <w:rPr>
          <w:rFonts w:ascii="Trebuchet MS" w:hAnsi="Trebuchet MS"/>
          <w:color w:val="000000"/>
          <w:sz w:val="24"/>
          <w:szCs w:val="24"/>
        </w:rPr>
        <w:t>that adaptive changes to a clinical trial could be more efficient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 (e.g., revealing shorter durations and fewer </w:t>
      </w:r>
      <w:r w:rsidR="00F1681E">
        <w:rPr>
          <w:rFonts w:ascii="Trebuchet MS" w:hAnsi="Trebuchet MS"/>
          <w:color w:val="000000"/>
          <w:sz w:val="24"/>
          <w:szCs w:val="24"/>
        </w:rPr>
        <w:t xml:space="preserve">trial </w:t>
      </w:r>
      <w:r w:rsidR="00F96184">
        <w:rPr>
          <w:rFonts w:ascii="Trebuchet MS" w:hAnsi="Trebuchet MS"/>
          <w:color w:val="000000"/>
          <w:sz w:val="24"/>
          <w:szCs w:val="24"/>
        </w:rPr>
        <w:t>pa</w:t>
      </w:r>
      <w:r w:rsidR="00F1681E">
        <w:rPr>
          <w:rFonts w:ascii="Trebuchet MS" w:hAnsi="Trebuchet MS"/>
          <w:color w:val="000000"/>
          <w:sz w:val="24"/>
          <w:szCs w:val="24"/>
        </w:rPr>
        <w:t>rticipants</w:t>
      </w:r>
      <w:r w:rsidR="00F96184">
        <w:rPr>
          <w:rFonts w:ascii="Trebuchet MS" w:hAnsi="Trebuchet MS"/>
          <w:color w:val="000000"/>
          <w:sz w:val="24"/>
          <w:szCs w:val="24"/>
        </w:rPr>
        <w:t>) and</w:t>
      </w:r>
      <w:r w:rsidR="00DA7881">
        <w:rPr>
          <w:rFonts w:ascii="Trebuchet MS" w:hAnsi="Trebuchet MS"/>
          <w:color w:val="000000"/>
          <w:sz w:val="24"/>
          <w:szCs w:val="24"/>
        </w:rPr>
        <w:t xml:space="preserve"> 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>increase the likelihood of success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 (e.g., </w:t>
      </w:r>
      <w:r w:rsidR="004A420F">
        <w:rPr>
          <w:rFonts w:ascii="Trebuchet MS" w:hAnsi="Trebuchet MS"/>
          <w:color w:val="000000"/>
          <w:sz w:val="24"/>
          <w:szCs w:val="24"/>
        </w:rPr>
        <w:t xml:space="preserve">freedom to </w:t>
      </w:r>
      <w:r w:rsidR="007F294F">
        <w:rPr>
          <w:rFonts w:ascii="Trebuchet MS" w:hAnsi="Trebuchet MS"/>
          <w:color w:val="000000"/>
          <w:sz w:val="24"/>
          <w:szCs w:val="24"/>
        </w:rPr>
        <w:t xml:space="preserve">make mid-stream </w:t>
      </w:r>
      <w:r w:rsidR="00F96184">
        <w:rPr>
          <w:rFonts w:ascii="Trebuchet MS" w:hAnsi="Trebuchet MS"/>
          <w:color w:val="000000"/>
          <w:sz w:val="24"/>
          <w:szCs w:val="24"/>
        </w:rPr>
        <w:t>chang</w:t>
      </w:r>
      <w:r w:rsidR="004A420F">
        <w:rPr>
          <w:rFonts w:ascii="Trebuchet MS" w:hAnsi="Trebuchet MS"/>
          <w:color w:val="000000"/>
          <w:sz w:val="24"/>
          <w:szCs w:val="24"/>
        </w:rPr>
        <w:t>e</w:t>
      </w:r>
      <w:r w:rsidR="007F294F">
        <w:rPr>
          <w:rFonts w:ascii="Trebuchet MS" w:hAnsi="Trebuchet MS"/>
          <w:color w:val="000000"/>
          <w:sz w:val="24"/>
          <w:szCs w:val="24"/>
        </w:rPr>
        <w:t>s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 </w:t>
      </w:r>
      <w:r w:rsidR="007F294F">
        <w:rPr>
          <w:rFonts w:ascii="Trebuchet MS" w:hAnsi="Trebuchet MS"/>
          <w:color w:val="000000"/>
          <w:sz w:val="24"/>
          <w:szCs w:val="24"/>
        </w:rPr>
        <w:t>to</w:t>
      </w:r>
      <w:r w:rsidR="008D27B0">
        <w:rPr>
          <w:rFonts w:ascii="Trebuchet MS" w:hAnsi="Trebuchet MS"/>
          <w:color w:val="000000"/>
          <w:sz w:val="24"/>
          <w:szCs w:val="24"/>
        </w:rPr>
        <w:t xml:space="preserve"> 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dosage levels and </w:t>
      </w:r>
      <w:r w:rsidR="007F294F">
        <w:rPr>
          <w:rFonts w:ascii="Trebuchet MS" w:hAnsi="Trebuchet MS"/>
          <w:color w:val="000000"/>
          <w:sz w:val="24"/>
          <w:szCs w:val="24"/>
        </w:rPr>
        <w:t>treatment</w:t>
      </w:r>
      <w:r w:rsidR="008D27B0">
        <w:rPr>
          <w:rFonts w:ascii="Trebuchet MS" w:hAnsi="Trebuchet MS"/>
          <w:color w:val="000000"/>
          <w:sz w:val="24"/>
          <w:szCs w:val="24"/>
        </w:rPr>
        <w:t xml:space="preserve"> </w:t>
      </w:r>
      <w:r w:rsidR="0069232B">
        <w:rPr>
          <w:rFonts w:ascii="Trebuchet MS" w:hAnsi="Trebuchet MS"/>
          <w:color w:val="000000"/>
          <w:sz w:val="24"/>
          <w:szCs w:val="24"/>
        </w:rPr>
        <w:t>group</w:t>
      </w:r>
      <w:r w:rsidR="007F294F">
        <w:rPr>
          <w:rFonts w:ascii="Trebuchet MS" w:hAnsi="Trebuchet MS"/>
          <w:color w:val="000000"/>
          <w:sz w:val="24"/>
          <w:szCs w:val="24"/>
        </w:rPr>
        <w:t>ings</w:t>
      </w:r>
      <w:r w:rsidR="00F96184">
        <w:rPr>
          <w:rFonts w:ascii="Trebuchet MS" w:hAnsi="Trebuchet MS"/>
          <w:color w:val="000000"/>
          <w:sz w:val="24"/>
          <w:szCs w:val="24"/>
        </w:rPr>
        <w:t>).</w:t>
      </w:r>
      <w:r w:rsidR="00DA7881">
        <w:rPr>
          <w:rFonts w:ascii="Trebuchet MS" w:hAnsi="Trebuchet MS"/>
          <w:color w:val="000000"/>
          <w:sz w:val="24"/>
          <w:szCs w:val="24"/>
        </w:rPr>
        <w:t xml:space="preserve"> </w:t>
      </w:r>
      <w:r w:rsidR="007F294F">
        <w:rPr>
          <w:rFonts w:ascii="Trebuchet MS" w:hAnsi="Trebuchet MS"/>
          <w:color w:val="000000"/>
          <w:sz w:val="24"/>
          <w:szCs w:val="24"/>
        </w:rPr>
        <w:t>T</w:t>
      </w:r>
      <w:r w:rsidR="00DA7881">
        <w:rPr>
          <w:rFonts w:ascii="Trebuchet MS" w:hAnsi="Trebuchet MS"/>
          <w:color w:val="000000"/>
          <w:sz w:val="24"/>
          <w:szCs w:val="24"/>
        </w:rPr>
        <w:t>he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 xml:space="preserve"> FDA </w:t>
      </w:r>
      <w:r w:rsidR="007F294F">
        <w:rPr>
          <w:rFonts w:ascii="Trebuchet MS" w:hAnsi="Trebuchet MS"/>
          <w:color w:val="000000"/>
          <w:sz w:val="24"/>
          <w:szCs w:val="24"/>
        </w:rPr>
        <w:t>agrees with the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 xml:space="preserve"> drug developers </w:t>
      </w:r>
      <w:r w:rsidR="009D79A5">
        <w:rPr>
          <w:rFonts w:ascii="Trebuchet MS" w:hAnsi="Trebuchet MS"/>
          <w:color w:val="000000"/>
          <w:sz w:val="24"/>
          <w:szCs w:val="24"/>
        </w:rPr>
        <w:t>on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 xml:space="preserve"> these 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potential </w:t>
      </w:r>
      <w:r w:rsidR="009D79A5" w:rsidRPr="00DA7881">
        <w:rPr>
          <w:rFonts w:ascii="Trebuchet MS" w:hAnsi="Trebuchet MS"/>
          <w:color w:val="000000"/>
          <w:sz w:val="24"/>
          <w:szCs w:val="24"/>
        </w:rPr>
        <w:t>advantages but</w:t>
      </w:r>
      <w:r w:rsidR="007F294F">
        <w:rPr>
          <w:rFonts w:ascii="Trebuchet MS" w:hAnsi="Trebuchet MS"/>
          <w:color w:val="000000"/>
          <w:sz w:val="24"/>
          <w:szCs w:val="24"/>
        </w:rPr>
        <w:t xml:space="preserve"> 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 xml:space="preserve">is also concerned with </w:t>
      </w:r>
      <w:r w:rsidR="00F96184">
        <w:rPr>
          <w:rFonts w:ascii="Trebuchet MS" w:hAnsi="Trebuchet MS"/>
          <w:color w:val="000000"/>
          <w:sz w:val="24"/>
          <w:szCs w:val="24"/>
        </w:rPr>
        <w:t xml:space="preserve">the </w:t>
      </w:r>
      <w:r w:rsidR="00F1681E">
        <w:rPr>
          <w:rFonts w:ascii="Trebuchet MS" w:hAnsi="Trebuchet MS"/>
          <w:color w:val="000000"/>
          <w:sz w:val="24"/>
          <w:szCs w:val="24"/>
        </w:rPr>
        <w:t>“</w:t>
      </w:r>
      <w:r w:rsidR="00DA7881" w:rsidRPr="00DA7881">
        <w:rPr>
          <w:rFonts w:ascii="Trebuchet MS" w:hAnsi="Trebuchet MS"/>
          <w:color w:val="000000"/>
          <w:sz w:val="24"/>
          <w:szCs w:val="24"/>
        </w:rPr>
        <w:t>possible introduction of bias and the increased possibility of an incorrect conclusion</w:t>
      </w:r>
      <w:r w:rsidR="00F705A4">
        <w:rPr>
          <w:rFonts w:ascii="Trebuchet MS" w:hAnsi="Trebuchet MS"/>
          <w:color w:val="000000"/>
          <w:sz w:val="24"/>
          <w:szCs w:val="24"/>
        </w:rPr>
        <w:t>.</w:t>
      </w:r>
      <w:r w:rsidR="00F1681E">
        <w:rPr>
          <w:rFonts w:ascii="Trebuchet MS" w:hAnsi="Trebuchet MS"/>
          <w:color w:val="000000"/>
          <w:sz w:val="24"/>
          <w:szCs w:val="24"/>
        </w:rPr>
        <w:t>”</w:t>
      </w:r>
      <w:r w:rsidR="007F294F">
        <w:rPr>
          <w:rFonts w:ascii="Trebuchet MS" w:hAnsi="Trebuchet MS"/>
          <w:color w:val="000000"/>
          <w:sz w:val="24"/>
          <w:szCs w:val="24"/>
        </w:rPr>
        <w:t xml:space="preserve"> </w:t>
      </w:r>
      <w:r w:rsidR="00F1681E">
        <w:rPr>
          <w:rFonts w:ascii="Trebuchet MS" w:hAnsi="Trebuchet MS"/>
          <w:color w:val="000000"/>
          <w:sz w:val="24"/>
          <w:szCs w:val="24"/>
        </w:rPr>
        <w:t xml:space="preserve">To minimize these risks, </w:t>
      </w:r>
      <w:r w:rsidR="007F294F">
        <w:rPr>
          <w:rFonts w:ascii="Trebuchet MS" w:hAnsi="Trebuchet MS"/>
          <w:color w:val="000000"/>
          <w:sz w:val="24"/>
          <w:szCs w:val="24"/>
        </w:rPr>
        <w:t>the FDA s</w:t>
      </w:r>
      <w:r w:rsidR="008D3947">
        <w:rPr>
          <w:rFonts w:ascii="Trebuchet MS" w:hAnsi="Trebuchet MS"/>
          <w:color w:val="000000"/>
          <w:sz w:val="24"/>
          <w:szCs w:val="24"/>
        </w:rPr>
        <w:t xml:space="preserve">ays </w:t>
      </w:r>
      <w:r w:rsidR="00F1681E">
        <w:rPr>
          <w:rFonts w:ascii="Trebuchet MS" w:hAnsi="Trebuchet MS"/>
          <w:color w:val="000000"/>
          <w:sz w:val="24"/>
          <w:szCs w:val="24"/>
        </w:rPr>
        <w:t xml:space="preserve">it is imperative to blind </w:t>
      </w:r>
      <w:r w:rsidR="00F909BA" w:rsidRPr="00AC4B2D">
        <w:rPr>
          <w:rFonts w:ascii="Trebuchet MS" w:hAnsi="Trebuchet MS"/>
          <w:color w:val="000000"/>
          <w:sz w:val="24"/>
          <w:szCs w:val="24"/>
        </w:rPr>
        <w:t xml:space="preserve">treatment group assignments </w:t>
      </w:r>
      <w:r w:rsidR="00F56310">
        <w:rPr>
          <w:rFonts w:ascii="Trebuchet MS" w:hAnsi="Trebuchet MS"/>
          <w:color w:val="000000"/>
          <w:sz w:val="24"/>
          <w:szCs w:val="24"/>
        </w:rPr>
        <w:t xml:space="preserve">and </w:t>
      </w:r>
      <w:r w:rsidR="009D79A5">
        <w:rPr>
          <w:rFonts w:ascii="Trebuchet MS" w:hAnsi="Trebuchet MS"/>
          <w:color w:val="000000"/>
          <w:sz w:val="24"/>
          <w:szCs w:val="24"/>
        </w:rPr>
        <w:t>interim</w:t>
      </w:r>
      <w:r w:rsidR="008D3947">
        <w:rPr>
          <w:rFonts w:ascii="Trebuchet MS" w:hAnsi="Trebuchet MS"/>
          <w:color w:val="000000"/>
          <w:sz w:val="24"/>
          <w:szCs w:val="24"/>
        </w:rPr>
        <w:t xml:space="preserve"> </w:t>
      </w:r>
      <w:r w:rsidR="00F56310">
        <w:rPr>
          <w:rFonts w:ascii="Trebuchet MS" w:hAnsi="Trebuchet MS"/>
          <w:color w:val="000000"/>
          <w:sz w:val="24"/>
          <w:szCs w:val="24"/>
        </w:rPr>
        <w:t>analys</w:t>
      </w:r>
      <w:r w:rsidR="0069232B">
        <w:rPr>
          <w:rFonts w:ascii="Trebuchet MS" w:hAnsi="Trebuchet MS"/>
          <w:color w:val="000000"/>
          <w:sz w:val="24"/>
          <w:szCs w:val="24"/>
        </w:rPr>
        <w:t>e</w:t>
      </w:r>
      <w:r w:rsidR="00F56310">
        <w:rPr>
          <w:rFonts w:ascii="Trebuchet MS" w:hAnsi="Trebuchet MS"/>
          <w:color w:val="000000"/>
          <w:sz w:val="24"/>
          <w:szCs w:val="24"/>
        </w:rPr>
        <w:t>s</w:t>
      </w:r>
      <w:r w:rsidR="008D3947">
        <w:rPr>
          <w:rFonts w:ascii="Trebuchet MS" w:hAnsi="Trebuchet MS"/>
          <w:color w:val="000000"/>
          <w:sz w:val="24"/>
          <w:szCs w:val="24"/>
        </w:rPr>
        <w:t>; various statistical procedures are mentioned to correct for remaining errors.</w:t>
      </w:r>
    </w:p>
    <w:p w14:paraId="1DB593A6" w14:textId="59EE1827" w:rsidR="007011F6" w:rsidRDefault="007011F6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1E2169A2" w14:textId="4334A6E7" w:rsidR="007011F6" w:rsidRDefault="00D03847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8"/>
          <w:szCs w:val="28"/>
        </w:rPr>
      </w:pPr>
      <w:r>
        <w:rPr>
          <w:rFonts w:ascii="Trebuchet MS" w:hAnsi="Trebuchet MS"/>
          <w:b/>
          <w:i/>
          <w:color w:val="000000"/>
          <w:sz w:val="28"/>
          <w:szCs w:val="28"/>
        </w:rPr>
        <w:t>The complexity of m</w:t>
      </w:r>
      <w:r w:rsidR="007011F6" w:rsidRPr="008E29CF">
        <w:rPr>
          <w:rFonts w:ascii="Trebuchet MS" w:hAnsi="Trebuchet MS"/>
          <w:b/>
          <w:i/>
          <w:color w:val="000000"/>
          <w:sz w:val="28"/>
          <w:szCs w:val="28"/>
        </w:rPr>
        <w:t xml:space="preserve">ultiple adaptive changes to a clinical trial   </w:t>
      </w:r>
    </w:p>
    <w:p w14:paraId="1406B33E" w14:textId="6017011A" w:rsidR="00A12191" w:rsidRDefault="00A12191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8"/>
          <w:szCs w:val="28"/>
        </w:rPr>
      </w:pPr>
    </w:p>
    <w:p w14:paraId="2F6BF0B8" w14:textId="33B9E98E" w:rsidR="0026408D" w:rsidRDefault="00A12191" w:rsidP="007E2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"/>
          <w:sz w:val="24"/>
          <w:szCs w:val="24"/>
        </w:rPr>
      </w:pPr>
      <w:r>
        <w:rPr>
          <w:rFonts w:ascii="Trebuchet MS" w:hAnsi="Trebuchet MS" w:cs="Courier"/>
          <w:sz w:val="24"/>
          <w:szCs w:val="24"/>
        </w:rPr>
        <w:t>A</w:t>
      </w:r>
      <w:r w:rsidRPr="00A12191">
        <w:rPr>
          <w:rFonts w:ascii="Trebuchet MS" w:hAnsi="Trebuchet MS" w:cs="Courier"/>
          <w:sz w:val="24"/>
          <w:szCs w:val="24"/>
        </w:rPr>
        <w:t>daptive designs can be quite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A12191">
        <w:rPr>
          <w:rFonts w:ascii="Trebuchet MS" w:hAnsi="Trebuchet MS" w:cs="Courier"/>
          <w:sz w:val="24"/>
          <w:szCs w:val="24"/>
        </w:rPr>
        <w:t xml:space="preserve">complex </w:t>
      </w:r>
      <w:r w:rsidR="0026408D">
        <w:rPr>
          <w:rFonts w:ascii="Trebuchet MS" w:hAnsi="Trebuchet MS" w:cs="Courier"/>
          <w:sz w:val="24"/>
          <w:szCs w:val="24"/>
        </w:rPr>
        <w:t xml:space="preserve">when </w:t>
      </w:r>
      <w:r w:rsidR="00D71D4A">
        <w:rPr>
          <w:rFonts w:ascii="Trebuchet MS" w:hAnsi="Trebuchet MS" w:cs="Courier"/>
          <w:sz w:val="24"/>
          <w:szCs w:val="24"/>
        </w:rPr>
        <w:t xml:space="preserve">introducing </w:t>
      </w:r>
      <w:r w:rsidR="0026408D">
        <w:rPr>
          <w:rFonts w:ascii="Trebuchet MS" w:hAnsi="Trebuchet MS" w:cs="Courier"/>
          <w:sz w:val="24"/>
          <w:szCs w:val="24"/>
        </w:rPr>
        <w:t xml:space="preserve">multiple changes to a clinical trial. “Multiple” is used in two senses: Changing more than one trial feature at a given interim </w:t>
      </w:r>
      <w:r w:rsidR="00AF66AB">
        <w:rPr>
          <w:rFonts w:ascii="Trebuchet MS" w:hAnsi="Trebuchet MS" w:cs="Courier"/>
          <w:sz w:val="24"/>
          <w:szCs w:val="24"/>
        </w:rPr>
        <w:t xml:space="preserve">trial </w:t>
      </w:r>
      <w:r w:rsidR="0026408D">
        <w:rPr>
          <w:rFonts w:ascii="Trebuchet MS" w:hAnsi="Trebuchet MS" w:cs="Courier"/>
          <w:sz w:val="24"/>
          <w:szCs w:val="24"/>
        </w:rPr>
        <w:t>point or changing trial feature</w:t>
      </w:r>
      <w:r w:rsidR="00CA6D24">
        <w:rPr>
          <w:rFonts w:ascii="Trebuchet MS" w:hAnsi="Trebuchet MS" w:cs="Courier"/>
          <w:sz w:val="24"/>
          <w:szCs w:val="24"/>
        </w:rPr>
        <w:t xml:space="preserve">s </w:t>
      </w:r>
      <w:r w:rsidR="005315EC">
        <w:rPr>
          <w:rFonts w:ascii="Trebuchet MS" w:hAnsi="Trebuchet MS" w:cs="Courier"/>
          <w:sz w:val="24"/>
          <w:szCs w:val="24"/>
        </w:rPr>
        <w:t>at</w:t>
      </w:r>
      <w:r w:rsidR="0026408D">
        <w:rPr>
          <w:rFonts w:ascii="Trebuchet MS" w:hAnsi="Trebuchet MS" w:cs="Courier"/>
          <w:sz w:val="24"/>
          <w:szCs w:val="24"/>
        </w:rPr>
        <w:t xml:space="preserve"> </w:t>
      </w:r>
      <w:r w:rsidR="00AF66AB">
        <w:rPr>
          <w:rFonts w:ascii="Trebuchet MS" w:hAnsi="Trebuchet MS" w:cs="Courier"/>
          <w:sz w:val="24"/>
          <w:szCs w:val="24"/>
        </w:rPr>
        <w:t xml:space="preserve">different </w:t>
      </w:r>
      <w:r w:rsidR="0026408D">
        <w:rPr>
          <w:rFonts w:ascii="Trebuchet MS" w:hAnsi="Trebuchet MS" w:cs="Courier"/>
          <w:sz w:val="24"/>
          <w:szCs w:val="24"/>
        </w:rPr>
        <w:t>interim point</w:t>
      </w:r>
      <w:r w:rsidR="00AF66AB">
        <w:rPr>
          <w:rFonts w:ascii="Trebuchet MS" w:hAnsi="Trebuchet MS" w:cs="Courier"/>
          <w:sz w:val="24"/>
          <w:szCs w:val="24"/>
        </w:rPr>
        <w:t>s</w:t>
      </w:r>
      <w:r w:rsidR="0026408D">
        <w:rPr>
          <w:rFonts w:ascii="Trebuchet MS" w:hAnsi="Trebuchet MS" w:cs="Courier"/>
          <w:sz w:val="24"/>
          <w:szCs w:val="24"/>
        </w:rPr>
        <w:t xml:space="preserve">.     </w:t>
      </w:r>
    </w:p>
    <w:p w14:paraId="750B8476" w14:textId="77777777" w:rsidR="0026408D" w:rsidRDefault="0026408D" w:rsidP="007E2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"/>
          <w:sz w:val="24"/>
          <w:szCs w:val="24"/>
        </w:rPr>
      </w:pPr>
    </w:p>
    <w:p w14:paraId="207CCE56" w14:textId="16F1C49B" w:rsidR="002F0369" w:rsidRPr="00954453" w:rsidRDefault="003A3ADE" w:rsidP="007E2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"/>
          <w:sz w:val="24"/>
          <w:szCs w:val="24"/>
        </w:rPr>
      </w:pPr>
      <w:r>
        <w:rPr>
          <w:rFonts w:ascii="Trebuchet MS" w:hAnsi="Trebuchet MS" w:cs="Courier"/>
          <w:sz w:val="24"/>
          <w:szCs w:val="24"/>
        </w:rPr>
        <w:t xml:space="preserve">Multiple </w:t>
      </w:r>
      <w:r w:rsidR="0026408D">
        <w:rPr>
          <w:rFonts w:ascii="Trebuchet MS" w:hAnsi="Trebuchet MS" w:cs="Courier"/>
          <w:sz w:val="24"/>
          <w:szCs w:val="24"/>
        </w:rPr>
        <w:t>adaptive changes</w:t>
      </w:r>
      <w:r>
        <w:rPr>
          <w:rFonts w:ascii="Trebuchet MS" w:hAnsi="Trebuchet MS" w:cs="Courier"/>
          <w:sz w:val="24"/>
          <w:szCs w:val="24"/>
        </w:rPr>
        <w:t xml:space="preserve"> introduce added complexity to </w:t>
      </w:r>
      <w:r w:rsidR="00696A54">
        <w:rPr>
          <w:rFonts w:ascii="Trebuchet MS" w:hAnsi="Trebuchet MS" w:cs="Courier"/>
          <w:sz w:val="24"/>
          <w:szCs w:val="24"/>
        </w:rPr>
        <w:t xml:space="preserve">the </w:t>
      </w:r>
      <w:r>
        <w:rPr>
          <w:rFonts w:ascii="Trebuchet MS" w:hAnsi="Trebuchet MS" w:cs="Courier"/>
          <w:sz w:val="24"/>
          <w:szCs w:val="24"/>
        </w:rPr>
        <w:t xml:space="preserve">planning for clinical trials. </w:t>
      </w:r>
      <w:r w:rsidR="00A12191">
        <w:rPr>
          <w:rFonts w:ascii="Trebuchet MS" w:hAnsi="Trebuchet MS" w:cs="Courier"/>
          <w:sz w:val="24"/>
          <w:szCs w:val="24"/>
        </w:rPr>
        <w:t xml:space="preserve"> </w:t>
      </w:r>
      <w:r>
        <w:rPr>
          <w:rFonts w:ascii="Trebuchet MS" w:hAnsi="Trebuchet MS" w:cs="Courier"/>
          <w:sz w:val="24"/>
          <w:szCs w:val="24"/>
        </w:rPr>
        <w:t xml:space="preserve">To deal effectively with that complexity, </w:t>
      </w:r>
      <w:r w:rsidR="007E2F2C">
        <w:rPr>
          <w:rFonts w:ascii="Trebuchet MS" w:hAnsi="Trebuchet MS" w:cs="Courier"/>
          <w:sz w:val="24"/>
          <w:szCs w:val="24"/>
        </w:rPr>
        <w:t xml:space="preserve">the FDA </w:t>
      </w:r>
      <w:r w:rsidR="00FC45F9">
        <w:rPr>
          <w:rFonts w:ascii="Trebuchet MS" w:hAnsi="Trebuchet MS" w:cs="Courier"/>
          <w:sz w:val="24"/>
          <w:szCs w:val="24"/>
        </w:rPr>
        <w:t>believes that</w:t>
      </w:r>
      <w:r w:rsidR="007E2F2C">
        <w:rPr>
          <w:rFonts w:ascii="Trebuchet MS" w:hAnsi="Trebuchet MS" w:cs="Courier"/>
          <w:sz w:val="24"/>
          <w:szCs w:val="24"/>
        </w:rPr>
        <w:t xml:space="preserve"> the study team </w:t>
      </w:r>
      <w:r w:rsidR="00B52D8F">
        <w:rPr>
          <w:rFonts w:ascii="Trebuchet MS" w:hAnsi="Trebuchet MS" w:cs="Courier"/>
          <w:sz w:val="24"/>
          <w:szCs w:val="24"/>
        </w:rPr>
        <w:t>should</w:t>
      </w:r>
      <w:r w:rsidR="00FC45F9">
        <w:rPr>
          <w:rFonts w:ascii="Trebuchet MS" w:hAnsi="Trebuchet MS" w:cs="Courier"/>
          <w:sz w:val="24"/>
          <w:szCs w:val="24"/>
        </w:rPr>
        <w:t xml:space="preserve"> </w:t>
      </w:r>
      <w:r w:rsidR="007E2F2C">
        <w:rPr>
          <w:rFonts w:ascii="Trebuchet MS" w:hAnsi="Trebuchet MS" w:cs="Courier"/>
          <w:sz w:val="24"/>
          <w:szCs w:val="24"/>
        </w:rPr>
        <w:t>use</w:t>
      </w:r>
      <w:r w:rsidR="003C45FF">
        <w:rPr>
          <w:rFonts w:ascii="Trebuchet MS" w:hAnsi="Trebuchet MS" w:cs="Courier"/>
          <w:sz w:val="24"/>
          <w:szCs w:val="24"/>
        </w:rPr>
        <w:t xml:space="preserve"> </w:t>
      </w:r>
      <w:r w:rsidR="002A6670">
        <w:rPr>
          <w:rFonts w:ascii="Trebuchet MS" w:hAnsi="Trebuchet MS" w:cs="Courier"/>
          <w:sz w:val="24"/>
          <w:szCs w:val="24"/>
        </w:rPr>
        <w:t xml:space="preserve">more </w:t>
      </w:r>
      <w:r w:rsidR="00AF66AB">
        <w:rPr>
          <w:rFonts w:ascii="Trebuchet MS" w:hAnsi="Trebuchet MS" w:cs="Courier"/>
          <w:sz w:val="24"/>
          <w:szCs w:val="24"/>
        </w:rPr>
        <w:t xml:space="preserve">advanced </w:t>
      </w:r>
      <w:r w:rsidR="00231460">
        <w:rPr>
          <w:rFonts w:ascii="Trebuchet MS" w:hAnsi="Trebuchet MS" w:cs="Courier"/>
          <w:sz w:val="24"/>
          <w:szCs w:val="24"/>
        </w:rPr>
        <w:t xml:space="preserve">planning </w:t>
      </w:r>
      <w:r w:rsidR="00AF66AB">
        <w:rPr>
          <w:rFonts w:ascii="Trebuchet MS" w:hAnsi="Trebuchet MS" w:cs="Courier"/>
          <w:sz w:val="24"/>
          <w:szCs w:val="24"/>
        </w:rPr>
        <w:t>tools</w:t>
      </w:r>
      <w:r w:rsidR="00A852BD">
        <w:rPr>
          <w:rFonts w:ascii="Trebuchet MS" w:hAnsi="Trebuchet MS" w:cs="Courier"/>
          <w:sz w:val="24"/>
          <w:szCs w:val="24"/>
        </w:rPr>
        <w:t xml:space="preserve"> </w:t>
      </w:r>
      <w:r w:rsidR="002A6670">
        <w:rPr>
          <w:rFonts w:ascii="Trebuchet MS" w:hAnsi="Trebuchet MS" w:cs="Courier"/>
          <w:sz w:val="24"/>
          <w:szCs w:val="24"/>
        </w:rPr>
        <w:t xml:space="preserve">than </w:t>
      </w:r>
      <w:r w:rsidR="00454508">
        <w:rPr>
          <w:rFonts w:ascii="Trebuchet MS" w:hAnsi="Trebuchet MS" w:cs="Courier"/>
          <w:sz w:val="24"/>
          <w:szCs w:val="24"/>
        </w:rPr>
        <w:t xml:space="preserve">simply </w:t>
      </w:r>
      <w:r w:rsidR="002A6670">
        <w:rPr>
          <w:rFonts w:ascii="Trebuchet MS" w:hAnsi="Trebuchet MS" w:cs="Courier"/>
          <w:sz w:val="24"/>
          <w:szCs w:val="24"/>
        </w:rPr>
        <w:t>paper and pencil</w:t>
      </w:r>
      <w:r w:rsidR="00C45FDC">
        <w:rPr>
          <w:rFonts w:ascii="Trebuchet MS" w:hAnsi="Trebuchet MS" w:cs="Courier"/>
          <w:sz w:val="24"/>
          <w:szCs w:val="24"/>
        </w:rPr>
        <w:t>.</w:t>
      </w:r>
      <w:r w:rsidR="00A852BD">
        <w:rPr>
          <w:rFonts w:ascii="Trebuchet MS" w:hAnsi="Trebuchet MS" w:cs="Courier"/>
          <w:sz w:val="24"/>
          <w:szCs w:val="24"/>
        </w:rPr>
        <w:t xml:space="preserve"> </w:t>
      </w:r>
      <w:r w:rsidR="0049788B">
        <w:rPr>
          <w:rFonts w:ascii="Trebuchet MS" w:hAnsi="Trebuchet MS" w:cs="Courier"/>
          <w:sz w:val="24"/>
          <w:szCs w:val="24"/>
        </w:rPr>
        <w:t>The advanced tools include</w:t>
      </w:r>
      <w:r w:rsidR="003C45FF">
        <w:rPr>
          <w:rFonts w:ascii="Trebuchet MS" w:hAnsi="Trebuchet MS" w:cs="Courier"/>
          <w:sz w:val="24"/>
          <w:szCs w:val="24"/>
        </w:rPr>
        <w:t xml:space="preserve"> </w:t>
      </w:r>
      <w:r w:rsidR="007E2F2C" w:rsidRPr="007E2F2C">
        <w:rPr>
          <w:rFonts w:ascii="Trebuchet MS" w:hAnsi="Trebuchet MS" w:cs="Courier"/>
          <w:sz w:val="24"/>
          <w:szCs w:val="24"/>
        </w:rPr>
        <w:t xml:space="preserve">computer simulation to numerically integrate the </w:t>
      </w:r>
      <w:r w:rsidR="00231460">
        <w:rPr>
          <w:rFonts w:ascii="Trebuchet MS" w:hAnsi="Trebuchet MS" w:cs="Courier"/>
          <w:sz w:val="24"/>
          <w:szCs w:val="24"/>
        </w:rPr>
        <w:t xml:space="preserve">multiple </w:t>
      </w:r>
      <w:r w:rsidR="007E2F2C">
        <w:rPr>
          <w:rFonts w:ascii="Trebuchet MS" w:hAnsi="Trebuchet MS" w:cs="Courier"/>
          <w:sz w:val="24"/>
          <w:szCs w:val="24"/>
        </w:rPr>
        <w:t xml:space="preserve">adaptive </w:t>
      </w:r>
      <w:r w:rsidR="007E2F2C" w:rsidRPr="007E2F2C">
        <w:rPr>
          <w:rFonts w:ascii="Trebuchet MS" w:hAnsi="Trebuchet MS" w:cs="Courier"/>
          <w:sz w:val="24"/>
          <w:szCs w:val="24"/>
        </w:rPr>
        <w:t xml:space="preserve">changes </w:t>
      </w:r>
      <w:r w:rsidR="00CA6D24">
        <w:rPr>
          <w:rFonts w:ascii="Trebuchet MS" w:hAnsi="Trebuchet MS" w:cs="Courier"/>
          <w:sz w:val="24"/>
          <w:szCs w:val="24"/>
        </w:rPr>
        <w:t xml:space="preserve">under consideration </w:t>
      </w:r>
      <w:r w:rsidR="00C75C3F">
        <w:rPr>
          <w:rStyle w:val="FootnoteReference"/>
          <w:rFonts w:ascii="Trebuchet MS" w:hAnsi="Trebuchet MS" w:cs="Courier"/>
          <w:sz w:val="24"/>
          <w:szCs w:val="24"/>
        </w:rPr>
        <w:footnoteReference w:id="3"/>
      </w:r>
      <w:r w:rsidR="00586836">
        <w:rPr>
          <w:rFonts w:ascii="Trebuchet MS" w:hAnsi="Trebuchet MS" w:cs="Courier"/>
          <w:sz w:val="24"/>
          <w:szCs w:val="24"/>
        </w:rPr>
        <w:t xml:space="preserve"> </w:t>
      </w:r>
      <w:r w:rsidR="007E2F2C">
        <w:rPr>
          <w:rFonts w:ascii="Trebuchet MS" w:hAnsi="Trebuchet MS" w:cs="Courier"/>
          <w:sz w:val="24"/>
          <w:szCs w:val="24"/>
        </w:rPr>
        <w:t>and</w:t>
      </w:r>
      <w:r w:rsidR="007E2F2C" w:rsidRPr="007E2F2C">
        <w:rPr>
          <w:rFonts w:ascii="Trebuchet MS" w:hAnsi="Trebuchet MS" w:cs="Courier"/>
          <w:sz w:val="24"/>
          <w:szCs w:val="24"/>
        </w:rPr>
        <w:t xml:space="preserve"> Bayesian statistics to evaluate</w:t>
      </w:r>
      <w:r w:rsidR="007E2F2C">
        <w:rPr>
          <w:rFonts w:ascii="Trebuchet MS" w:hAnsi="Trebuchet MS" w:cs="Courier"/>
          <w:sz w:val="24"/>
          <w:szCs w:val="24"/>
        </w:rPr>
        <w:t xml:space="preserve"> the</w:t>
      </w:r>
      <w:r w:rsidR="00946F36">
        <w:rPr>
          <w:rFonts w:ascii="Trebuchet MS" w:hAnsi="Trebuchet MS" w:cs="Courier"/>
          <w:sz w:val="24"/>
          <w:szCs w:val="24"/>
        </w:rPr>
        <w:t>ir</w:t>
      </w:r>
      <w:r w:rsidR="007E2F2C">
        <w:rPr>
          <w:rFonts w:ascii="Trebuchet MS" w:hAnsi="Trebuchet MS" w:cs="Courier"/>
          <w:sz w:val="24"/>
          <w:szCs w:val="24"/>
        </w:rPr>
        <w:t xml:space="preserve"> </w:t>
      </w:r>
      <w:r w:rsidR="00696A54">
        <w:rPr>
          <w:rFonts w:ascii="Trebuchet MS" w:hAnsi="Trebuchet MS" w:cs="Courier"/>
          <w:sz w:val="24"/>
          <w:szCs w:val="24"/>
        </w:rPr>
        <w:t>likely</w:t>
      </w:r>
      <w:r w:rsidR="00946F36">
        <w:rPr>
          <w:rFonts w:ascii="Trebuchet MS" w:hAnsi="Trebuchet MS" w:cs="Courier"/>
          <w:sz w:val="24"/>
          <w:szCs w:val="24"/>
        </w:rPr>
        <w:t xml:space="preserve"> </w:t>
      </w:r>
      <w:r w:rsidR="008D27B0">
        <w:rPr>
          <w:rFonts w:ascii="Trebuchet MS" w:hAnsi="Trebuchet MS" w:cs="Courier"/>
          <w:sz w:val="24"/>
          <w:szCs w:val="24"/>
        </w:rPr>
        <w:t>merits</w:t>
      </w:r>
      <w:r w:rsidR="004A6EDB">
        <w:rPr>
          <w:rFonts w:ascii="Trebuchet MS" w:hAnsi="Trebuchet MS" w:cs="Courier"/>
          <w:sz w:val="24"/>
          <w:szCs w:val="24"/>
        </w:rPr>
        <w:t>.</w:t>
      </w:r>
      <w:r w:rsidR="00954453">
        <w:rPr>
          <w:rFonts w:ascii="Trebuchet MS" w:hAnsi="Trebuchet MS" w:cs="Courier"/>
          <w:sz w:val="24"/>
          <w:szCs w:val="24"/>
        </w:rPr>
        <w:t xml:space="preserve"> </w:t>
      </w:r>
      <w:r w:rsidR="00252B3D">
        <w:rPr>
          <w:rStyle w:val="FootnoteReference"/>
          <w:rFonts w:ascii="Trebuchet MS" w:hAnsi="Trebuchet MS" w:cs="Courier"/>
          <w:sz w:val="24"/>
          <w:szCs w:val="24"/>
        </w:rPr>
        <w:footnoteReference w:id="4"/>
      </w:r>
      <w:r w:rsidR="00C75C3F">
        <w:rPr>
          <w:rFonts w:ascii="Trebuchet MS" w:hAnsi="Trebuchet MS" w:cs="Courier"/>
          <w:sz w:val="24"/>
          <w:szCs w:val="24"/>
        </w:rPr>
        <w:t xml:space="preserve"> (</w:t>
      </w:r>
      <w:r w:rsidR="008D3947">
        <w:rPr>
          <w:rFonts w:ascii="Trebuchet MS" w:hAnsi="Trebuchet MS" w:cs="Courier"/>
          <w:sz w:val="24"/>
          <w:szCs w:val="24"/>
        </w:rPr>
        <w:t>T</w:t>
      </w:r>
      <w:r w:rsidR="00954453" w:rsidRPr="00954453">
        <w:rPr>
          <w:rFonts w:ascii="Trebuchet MS" w:hAnsi="Trebuchet MS"/>
          <w:sz w:val="24"/>
          <w:szCs w:val="24"/>
        </w:rPr>
        <w:t xml:space="preserve">he classical statistics </w:t>
      </w:r>
      <w:r w:rsidR="00586836">
        <w:rPr>
          <w:rFonts w:ascii="Trebuchet MS" w:hAnsi="Trebuchet MS"/>
          <w:sz w:val="24"/>
          <w:szCs w:val="24"/>
        </w:rPr>
        <w:t xml:space="preserve">normally </w:t>
      </w:r>
      <w:r w:rsidR="00954453" w:rsidRPr="00954453">
        <w:rPr>
          <w:rFonts w:ascii="Trebuchet MS" w:hAnsi="Trebuchet MS"/>
          <w:sz w:val="24"/>
          <w:szCs w:val="24"/>
        </w:rPr>
        <w:t xml:space="preserve">used to </w:t>
      </w:r>
      <w:r w:rsidR="00954453">
        <w:rPr>
          <w:rFonts w:ascii="Trebuchet MS" w:hAnsi="Trebuchet MS"/>
          <w:sz w:val="24"/>
          <w:szCs w:val="24"/>
        </w:rPr>
        <w:t xml:space="preserve">draw conclusions </w:t>
      </w:r>
      <w:r w:rsidR="00586836">
        <w:rPr>
          <w:rFonts w:ascii="Trebuchet MS" w:hAnsi="Trebuchet MS"/>
          <w:sz w:val="24"/>
          <w:szCs w:val="24"/>
        </w:rPr>
        <w:t>on</w:t>
      </w:r>
      <w:r w:rsidR="00954453">
        <w:rPr>
          <w:rFonts w:ascii="Trebuchet MS" w:hAnsi="Trebuchet MS"/>
          <w:sz w:val="24"/>
          <w:szCs w:val="24"/>
        </w:rPr>
        <w:t xml:space="preserve"> </w:t>
      </w:r>
      <w:r w:rsidR="00954453" w:rsidRPr="00954453">
        <w:rPr>
          <w:rFonts w:ascii="Trebuchet MS" w:hAnsi="Trebuchet MS"/>
          <w:sz w:val="24"/>
          <w:szCs w:val="24"/>
        </w:rPr>
        <w:t xml:space="preserve">the overall effects of </w:t>
      </w:r>
      <w:r w:rsidR="008D3947">
        <w:rPr>
          <w:rFonts w:ascii="Trebuchet MS" w:hAnsi="Trebuchet MS"/>
          <w:sz w:val="24"/>
          <w:szCs w:val="24"/>
        </w:rPr>
        <w:t>a</w:t>
      </w:r>
      <w:r w:rsidR="00954453" w:rsidRPr="00954453">
        <w:rPr>
          <w:rFonts w:ascii="Trebuchet MS" w:hAnsi="Trebuchet MS"/>
          <w:sz w:val="24"/>
          <w:szCs w:val="24"/>
        </w:rPr>
        <w:t xml:space="preserve"> drug remain the same</w:t>
      </w:r>
      <w:r w:rsidR="008D3947">
        <w:rPr>
          <w:rFonts w:ascii="Trebuchet MS" w:hAnsi="Trebuchet MS"/>
          <w:sz w:val="24"/>
          <w:szCs w:val="24"/>
        </w:rPr>
        <w:t>.</w:t>
      </w:r>
      <w:r w:rsidR="00C75C3F">
        <w:rPr>
          <w:rFonts w:ascii="Trebuchet MS" w:hAnsi="Trebuchet MS"/>
          <w:sz w:val="24"/>
          <w:szCs w:val="24"/>
        </w:rPr>
        <w:t xml:space="preserve">) </w:t>
      </w:r>
      <w:r w:rsidR="00586836">
        <w:rPr>
          <w:rFonts w:ascii="Trebuchet MS" w:hAnsi="Trebuchet MS"/>
          <w:sz w:val="24"/>
          <w:szCs w:val="24"/>
        </w:rPr>
        <w:t xml:space="preserve">These advanced tools </w:t>
      </w:r>
      <w:r w:rsidR="00C75C3F">
        <w:rPr>
          <w:rFonts w:ascii="Trebuchet MS" w:hAnsi="Trebuchet MS"/>
          <w:sz w:val="24"/>
          <w:szCs w:val="24"/>
        </w:rPr>
        <w:t>will be demonstrated in the CID pilot.</w:t>
      </w:r>
    </w:p>
    <w:p w14:paraId="615770C6" w14:textId="197B140D" w:rsidR="0026408D" w:rsidRDefault="0026408D" w:rsidP="007E2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"/>
          <w:sz w:val="24"/>
          <w:szCs w:val="24"/>
        </w:rPr>
      </w:pPr>
    </w:p>
    <w:p w14:paraId="5BA9BC49" w14:textId="607DCF36" w:rsidR="00946F36" w:rsidRPr="00FC45F9" w:rsidRDefault="00946F36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"/>
          <w:sz w:val="24"/>
          <w:szCs w:val="24"/>
        </w:rPr>
      </w:pPr>
      <w:r>
        <w:rPr>
          <w:rFonts w:ascii="Trebuchet MS" w:hAnsi="Trebuchet MS" w:cs="Courier"/>
          <w:sz w:val="24"/>
          <w:szCs w:val="24"/>
        </w:rPr>
        <w:t>M</w:t>
      </w:r>
      <w:r w:rsidR="0026408D">
        <w:rPr>
          <w:rFonts w:ascii="Trebuchet MS" w:hAnsi="Trebuchet MS" w:cs="Courier"/>
          <w:sz w:val="24"/>
          <w:szCs w:val="24"/>
        </w:rPr>
        <w:t xml:space="preserve">ultiple adaptive changes for a clinical trial </w:t>
      </w:r>
      <w:r>
        <w:rPr>
          <w:rFonts w:ascii="Trebuchet MS" w:hAnsi="Trebuchet MS" w:cs="Courier"/>
          <w:sz w:val="24"/>
          <w:szCs w:val="24"/>
        </w:rPr>
        <w:t xml:space="preserve">carry with it </w:t>
      </w:r>
      <w:r w:rsidR="00FC45F9">
        <w:rPr>
          <w:rFonts w:ascii="Trebuchet MS" w:hAnsi="Trebuchet MS" w:cs="Courier"/>
          <w:sz w:val="24"/>
          <w:szCs w:val="24"/>
        </w:rPr>
        <w:t>three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="008D27B0">
        <w:rPr>
          <w:rFonts w:ascii="Trebuchet MS" w:hAnsi="Trebuchet MS" w:cs="Courier"/>
          <w:sz w:val="24"/>
          <w:szCs w:val="24"/>
        </w:rPr>
        <w:t>heavier</w:t>
      </w:r>
      <w:r w:rsidR="00FC45F9">
        <w:rPr>
          <w:rFonts w:ascii="Trebuchet MS" w:hAnsi="Trebuchet MS" w:cs="Courier"/>
          <w:sz w:val="24"/>
          <w:szCs w:val="24"/>
        </w:rPr>
        <w:t xml:space="preserve"> </w:t>
      </w:r>
      <w:r w:rsidR="00C45FDC">
        <w:rPr>
          <w:rFonts w:ascii="Trebuchet MS" w:hAnsi="Trebuchet MS" w:cs="Courier"/>
          <w:sz w:val="24"/>
          <w:szCs w:val="24"/>
        </w:rPr>
        <w:t>burdens</w:t>
      </w:r>
      <w:r w:rsidR="00FC45F9">
        <w:rPr>
          <w:rFonts w:ascii="Trebuchet MS" w:hAnsi="Trebuchet MS" w:cs="Courier"/>
          <w:sz w:val="24"/>
          <w:szCs w:val="24"/>
        </w:rPr>
        <w:t xml:space="preserve">. First, </w:t>
      </w:r>
      <w:r w:rsidR="00FC45F9" w:rsidRPr="00FC45F9">
        <w:rPr>
          <w:rFonts w:ascii="Trebuchet MS" w:hAnsi="Trebuchet MS" w:cs="Courier"/>
          <w:sz w:val="24"/>
          <w:szCs w:val="24"/>
        </w:rPr>
        <w:t>s</w:t>
      </w:r>
      <w:r w:rsidRPr="00FC45F9">
        <w:rPr>
          <w:rFonts w:ascii="Trebuchet MS" w:hAnsi="Trebuchet MS" w:cs="Courier"/>
          <w:sz w:val="24"/>
          <w:szCs w:val="24"/>
        </w:rPr>
        <w:t xml:space="preserve">pecial arrangements </w:t>
      </w:r>
      <w:r w:rsidR="00B52D8F">
        <w:rPr>
          <w:rFonts w:ascii="Trebuchet MS" w:hAnsi="Trebuchet MS" w:cs="Courier"/>
          <w:sz w:val="24"/>
          <w:szCs w:val="24"/>
        </w:rPr>
        <w:t xml:space="preserve">have </w:t>
      </w:r>
      <w:r w:rsidRPr="00FC45F9">
        <w:rPr>
          <w:rFonts w:ascii="Trebuchet MS" w:hAnsi="Trebuchet MS" w:cs="Courier"/>
          <w:sz w:val="24"/>
          <w:szCs w:val="24"/>
        </w:rPr>
        <w:t xml:space="preserve">to </w:t>
      </w:r>
      <w:r w:rsidR="00B52D8F">
        <w:rPr>
          <w:rFonts w:ascii="Trebuchet MS" w:hAnsi="Trebuchet MS" w:cs="Courier"/>
          <w:sz w:val="24"/>
          <w:szCs w:val="24"/>
        </w:rPr>
        <w:t xml:space="preserve">be made to </w:t>
      </w:r>
      <w:r w:rsidRPr="00FC45F9">
        <w:rPr>
          <w:rFonts w:ascii="Trebuchet MS" w:hAnsi="Trebuchet MS" w:cs="Courier"/>
          <w:sz w:val="24"/>
          <w:szCs w:val="24"/>
        </w:rPr>
        <w:t xml:space="preserve">maintain </w:t>
      </w:r>
      <w:r w:rsidR="00C45FDC">
        <w:rPr>
          <w:rFonts w:ascii="Trebuchet MS" w:hAnsi="Trebuchet MS" w:cs="Courier"/>
          <w:sz w:val="24"/>
          <w:szCs w:val="24"/>
        </w:rPr>
        <w:t xml:space="preserve">the </w:t>
      </w:r>
      <w:r w:rsidRPr="00FC45F9">
        <w:rPr>
          <w:rFonts w:ascii="Trebuchet MS" w:hAnsi="Trebuchet MS" w:cs="Courier"/>
          <w:sz w:val="24"/>
          <w:szCs w:val="24"/>
        </w:rPr>
        <w:t xml:space="preserve">confidentiality of </w:t>
      </w:r>
      <w:r w:rsidR="0049788B">
        <w:rPr>
          <w:rFonts w:ascii="Trebuchet MS" w:hAnsi="Trebuchet MS" w:cs="Courier"/>
          <w:sz w:val="24"/>
          <w:szCs w:val="24"/>
        </w:rPr>
        <w:t xml:space="preserve">any and all </w:t>
      </w:r>
      <w:r w:rsidRPr="00FC45F9">
        <w:rPr>
          <w:rFonts w:ascii="Trebuchet MS" w:hAnsi="Trebuchet MS" w:cs="Courier"/>
          <w:sz w:val="24"/>
          <w:szCs w:val="24"/>
        </w:rPr>
        <w:t>interim results</w:t>
      </w:r>
      <w:r w:rsidR="00B9080F">
        <w:rPr>
          <w:rFonts w:ascii="Trebuchet MS" w:hAnsi="Trebuchet MS" w:cs="Courier"/>
          <w:sz w:val="24"/>
          <w:szCs w:val="24"/>
        </w:rPr>
        <w:t xml:space="preserve"> for avoiding</w:t>
      </w:r>
      <w:r w:rsidR="00FC45F9">
        <w:rPr>
          <w:rFonts w:ascii="Trebuchet MS" w:hAnsi="Trebuchet MS" w:cs="Courier"/>
          <w:sz w:val="24"/>
          <w:szCs w:val="24"/>
        </w:rPr>
        <w:t xml:space="preserve"> </w:t>
      </w:r>
      <w:r w:rsidR="00B9080F">
        <w:rPr>
          <w:rFonts w:ascii="Trebuchet MS" w:hAnsi="Trebuchet MS" w:cs="Courier"/>
          <w:sz w:val="24"/>
          <w:szCs w:val="24"/>
        </w:rPr>
        <w:t>bias</w:t>
      </w:r>
      <w:r w:rsidR="00FC45F9">
        <w:rPr>
          <w:rFonts w:ascii="Trebuchet MS" w:hAnsi="Trebuchet MS" w:cs="Courier"/>
          <w:sz w:val="24"/>
          <w:szCs w:val="24"/>
        </w:rPr>
        <w:t>.</w:t>
      </w:r>
      <w:r w:rsidRPr="00FC45F9">
        <w:rPr>
          <w:rFonts w:ascii="Trebuchet MS" w:hAnsi="Trebuchet MS" w:cs="Courier"/>
          <w:sz w:val="24"/>
          <w:szCs w:val="24"/>
        </w:rPr>
        <w:t xml:space="preserve"> </w:t>
      </w:r>
      <w:r w:rsidR="00FC45F9">
        <w:rPr>
          <w:rFonts w:ascii="Trebuchet MS" w:hAnsi="Trebuchet MS" w:cs="Courier"/>
          <w:sz w:val="24"/>
          <w:szCs w:val="24"/>
        </w:rPr>
        <w:t>Second, increased documentation goes hand in hand with the additional interim analyses</w:t>
      </w:r>
      <w:r w:rsidR="00FC45F9">
        <w:rPr>
          <w:rFonts w:ascii="Trebuchet MS" w:hAnsi="Trebuchet MS"/>
          <w:color w:val="000000"/>
          <w:sz w:val="24"/>
          <w:szCs w:val="24"/>
        </w:rPr>
        <w:t>. And third, m</w:t>
      </w:r>
      <w:r>
        <w:rPr>
          <w:rFonts w:ascii="Trebuchet MS" w:hAnsi="Trebuchet MS"/>
          <w:color w:val="000000"/>
          <w:sz w:val="24"/>
          <w:szCs w:val="24"/>
        </w:rPr>
        <w:t xml:space="preserve">ore frequent meetings </w:t>
      </w:r>
      <w:r w:rsidR="00FC45F9">
        <w:rPr>
          <w:rFonts w:ascii="Trebuchet MS" w:hAnsi="Trebuchet MS"/>
          <w:color w:val="000000"/>
          <w:sz w:val="24"/>
          <w:szCs w:val="24"/>
        </w:rPr>
        <w:t>between the</w:t>
      </w:r>
      <w:r>
        <w:rPr>
          <w:rFonts w:ascii="Trebuchet MS" w:hAnsi="Trebuchet MS"/>
          <w:color w:val="000000"/>
          <w:sz w:val="24"/>
          <w:szCs w:val="24"/>
        </w:rPr>
        <w:t xml:space="preserve"> FDA</w:t>
      </w:r>
      <w:r w:rsidR="00FC45F9">
        <w:rPr>
          <w:rFonts w:ascii="Trebuchet MS" w:hAnsi="Trebuchet MS"/>
          <w:color w:val="000000"/>
          <w:sz w:val="24"/>
          <w:szCs w:val="24"/>
        </w:rPr>
        <w:t xml:space="preserve"> and the medical</w:t>
      </w:r>
      <w:r w:rsidR="00CA6D24">
        <w:rPr>
          <w:rFonts w:ascii="Trebuchet MS" w:hAnsi="Trebuchet MS"/>
          <w:color w:val="000000"/>
          <w:sz w:val="24"/>
          <w:szCs w:val="24"/>
        </w:rPr>
        <w:t>-</w:t>
      </w:r>
      <w:r w:rsidR="00FC45F9">
        <w:rPr>
          <w:rFonts w:ascii="Trebuchet MS" w:hAnsi="Trebuchet MS"/>
          <w:color w:val="000000"/>
          <w:sz w:val="24"/>
          <w:szCs w:val="24"/>
        </w:rPr>
        <w:t xml:space="preserve">statistical investigators </w:t>
      </w:r>
      <w:r w:rsidR="00B52D8F">
        <w:rPr>
          <w:rFonts w:ascii="Trebuchet MS" w:hAnsi="Trebuchet MS"/>
          <w:color w:val="000000"/>
          <w:sz w:val="24"/>
          <w:szCs w:val="24"/>
        </w:rPr>
        <w:t>are inevitable</w:t>
      </w:r>
      <w:r w:rsidR="00FC45F9">
        <w:rPr>
          <w:rFonts w:ascii="Trebuchet MS" w:hAnsi="Trebuchet MS"/>
          <w:color w:val="000000"/>
          <w:sz w:val="24"/>
          <w:szCs w:val="24"/>
        </w:rPr>
        <w:t>.</w:t>
      </w:r>
    </w:p>
    <w:p w14:paraId="24149987" w14:textId="77777777" w:rsidR="007E2F2C" w:rsidRDefault="007E2F2C" w:rsidP="00A12191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14:paraId="0F18571B" w14:textId="04DADBB1" w:rsidR="007E2F2C" w:rsidRDefault="00134B11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8"/>
          <w:szCs w:val="28"/>
        </w:rPr>
      </w:pPr>
      <w:r>
        <w:rPr>
          <w:rFonts w:ascii="Trebuchet MS" w:hAnsi="Trebuchet MS"/>
          <w:b/>
          <w:i/>
          <w:color w:val="000000"/>
          <w:sz w:val="28"/>
          <w:szCs w:val="28"/>
        </w:rPr>
        <w:t>Author</w:t>
      </w:r>
      <w:r w:rsidR="00AD3F8D">
        <w:rPr>
          <w:rFonts w:ascii="Trebuchet MS" w:hAnsi="Trebuchet MS"/>
          <w:b/>
          <w:i/>
          <w:color w:val="000000"/>
          <w:sz w:val="28"/>
          <w:szCs w:val="28"/>
        </w:rPr>
        <w:t>’</w:t>
      </w:r>
      <w:r>
        <w:rPr>
          <w:rFonts w:ascii="Trebuchet MS" w:hAnsi="Trebuchet MS"/>
          <w:b/>
          <w:i/>
          <w:color w:val="000000"/>
          <w:sz w:val="28"/>
          <w:szCs w:val="28"/>
        </w:rPr>
        <w:t xml:space="preserve">s </w:t>
      </w:r>
      <w:r w:rsidR="008276A3">
        <w:rPr>
          <w:rFonts w:ascii="Trebuchet MS" w:hAnsi="Trebuchet MS"/>
          <w:b/>
          <w:i/>
          <w:color w:val="000000"/>
          <w:sz w:val="28"/>
          <w:szCs w:val="28"/>
        </w:rPr>
        <w:t>s</w:t>
      </w:r>
      <w:r w:rsidR="00B9080F">
        <w:rPr>
          <w:rFonts w:ascii="Trebuchet MS" w:hAnsi="Trebuchet MS"/>
          <w:b/>
          <w:i/>
          <w:color w:val="000000"/>
          <w:sz w:val="28"/>
          <w:szCs w:val="28"/>
        </w:rPr>
        <w:t>ummary of</w:t>
      </w:r>
      <w:r w:rsidR="00A1763D" w:rsidRPr="00A1763D">
        <w:rPr>
          <w:rFonts w:ascii="Trebuchet MS" w:hAnsi="Trebuchet MS"/>
          <w:b/>
          <w:i/>
          <w:color w:val="000000"/>
          <w:sz w:val="28"/>
          <w:szCs w:val="28"/>
        </w:rPr>
        <w:t xml:space="preserve"> </w:t>
      </w:r>
      <w:r w:rsidR="008276A3">
        <w:rPr>
          <w:rFonts w:ascii="Trebuchet MS" w:hAnsi="Trebuchet MS"/>
          <w:b/>
          <w:i/>
          <w:color w:val="000000"/>
          <w:sz w:val="28"/>
          <w:szCs w:val="28"/>
        </w:rPr>
        <w:t>trial d</w:t>
      </w:r>
      <w:r w:rsidR="00A1763D" w:rsidRPr="00A1763D">
        <w:rPr>
          <w:rFonts w:ascii="Trebuchet MS" w:hAnsi="Trebuchet MS"/>
          <w:b/>
          <w:i/>
          <w:color w:val="000000"/>
          <w:sz w:val="28"/>
          <w:szCs w:val="28"/>
        </w:rPr>
        <w:t>esigns for APBD</w:t>
      </w:r>
    </w:p>
    <w:p w14:paraId="60240409" w14:textId="60BBA77B" w:rsidR="00A1763D" w:rsidRDefault="00A1763D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8"/>
          <w:szCs w:val="28"/>
        </w:rPr>
      </w:pPr>
    </w:p>
    <w:p w14:paraId="47964475" w14:textId="77777777" w:rsidR="002F0268" w:rsidRDefault="008452DB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According to the FDA, t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he </w:t>
      </w:r>
      <w:r>
        <w:rPr>
          <w:rFonts w:ascii="Trebuchet MS" w:hAnsi="Trebuchet MS"/>
          <w:color w:val="000000"/>
          <w:sz w:val="24"/>
          <w:szCs w:val="24"/>
        </w:rPr>
        <w:t xml:space="preserve">basic 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design for APBD clinical trials </w:t>
      </w:r>
      <w:r w:rsidR="00AD3F8D">
        <w:rPr>
          <w:rFonts w:ascii="Trebuchet MS" w:hAnsi="Trebuchet MS"/>
          <w:color w:val="000000"/>
          <w:sz w:val="24"/>
          <w:szCs w:val="24"/>
        </w:rPr>
        <w:t>should be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 the </w:t>
      </w:r>
      <w:r w:rsidR="00134B11" w:rsidRPr="008452DB">
        <w:rPr>
          <w:rFonts w:ascii="Trebuchet MS" w:hAnsi="Trebuchet MS"/>
          <w:b/>
          <w:color w:val="000000"/>
          <w:sz w:val="24"/>
          <w:szCs w:val="24"/>
        </w:rPr>
        <w:t>Crossover design</w:t>
      </w:r>
      <w:r w:rsidR="00134B11">
        <w:rPr>
          <w:rFonts w:ascii="Trebuchet MS" w:hAnsi="Trebuchet MS"/>
          <w:color w:val="000000"/>
          <w:sz w:val="24"/>
          <w:szCs w:val="24"/>
        </w:rPr>
        <w:t>. Also, th</w:t>
      </w:r>
      <w:r>
        <w:rPr>
          <w:rFonts w:ascii="Trebuchet MS" w:hAnsi="Trebuchet MS"/>
          <w:color w:val="000000"/>
          <w:sz w:val="24"/>
          <w:szCs w:val="24"/>
        </w:rPr>
        <w:t>e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 </w:t>
      </w:r>
      <w:r w:rsidR="00134B11" w:rsidRPr="008452DB">
        <w:rPr>
          <w:rFonts w:ascii="Trebuchet MS" w:hAnsi="Trebuchet MS"/>
          <w:b/>
          <w:color w:val="000000"/>
          <w:sz w:val="24"/>
          <w:szCs w:val="24"/>
        </w:rPr>
        <w:t>two-armed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 Crossover design </w:t>
      </w:r>
      <w:r>
        <w:rPr>
          <w:rFonts w:ascii="Trebuchet MS" w:hAnsi="Trebuchet MS"/>
          <w:color w:val="000000"/>
          <w:sz w:val="24"/>
          <w:szCs w:val="24"/>
        </w:rPr>
        <w:t>with</w:t>
      </w:r>
      <w:r w:rsidR="00B9080F">
        <w:rPr>
          <w:rFonts w:ascii="Trebuchet MS" w:hAnsi="Trebuchet MS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separate </w:t>
      </w:r>
      <w:r w:rsidR="00B9080F">
        <w:rPr>
          <w:rFonts w:ascii="Trebuchet MS" w:hAnsi="Trebuchet MS"/>
          <w:color w:val="000000"/>
          <w:sz w:val="24"/>
          <w:szCs w:val="24"/>
        </w:rPr>
        <w:t xml:space="preserve">mild and severe </w:t>
      </w:r>
      <w:r>
        <w:rPr>
          <w:rFonts w:ascii="Trebuchet MS" w:hAnsi="Trebuchet MS"/>
          <w:color w:val="000000"/>
          <w:sz w:val="24"/>
          <w:szCs w:val="24"/>
        </w:rPr>
        <w:t>groups would reduce APBD heterogeneity</w:t>
      </w:r>
      <w:r w:rsidR="00B9080F">
        <w:rPr>
          <w:rFonts w:ascii="Trebuchet MS" w:hAnsi="Trebuchet MS"/>
          <w:color w:val="000000"/>
          <w:sz w:val="24"/>
          <w:szCs w:val="24"/>
        </w:rPr>
        <w:t xml:space="preserve">. Finally, </w:t>
      </w:r>
      <w:r>
        <w:rPr>
          <w:rFonts w:ascii="Trebuchet MS" w:hAnsi="Trebuchet MS"/>
          <w:color w:val="000000"/>
          <w:sz w:val="24"/>
          <w:szCs w:val="24"/>
        </w:rPr>
        <w:t xml:space="preserve">an </w:t>
      </w:r>
      <w:r w:rsidR="00B9080F" w:rsidRPr="008452DB">
        <w:rPr>
          <w:rFonts w:ascii="Trebuchet MS" w:hAnsi="Trebuchet MS"/>
          <w:b/>
          <w:color w:val="000000"/>
          <w:sz w:val="24"/>
          <w:szCs w:val="24"/>
        </w:rPr>
        <w:t>adaptive</w:t>
      </w:r>
      <w:r w:rsidR="00B9080F">
        <w:rPr>
          <w:rFonts w:ascii="Trebuchet MS" w:hAnsi="Trebuchet MS"/>
          <w:color w:val="000000"/>
          <w:sz w:val="24"/>
          <w:szCs w:val="24"/>
        </w:rPr>
        <w:t xml:space="preserve"> two-armed Crossover design could provide further </w:t>
      </w:r>
      <w:r w:rsidR="006755CA">
        <w:rPr>
          <w:rFonts w:ascii="Trebuchet MS" w:hAnsi="Trebuchet MS"/>
          <w:color w:val="000000"/>
          <w:sz w:val="24"/>
          <w:szCs w:val="24"/>
        </w:rPr>
        <w:t xml:space="preserve">insights </w:t>
      </w:r>
      <w:r>
        <w:rPr>
          <w:rFonts w:ascii="Trebuchet MS" w:hAnsi="Trebuchet MS"/>
          <w:color w:val="000000"/>
          <w:sz w:val="24"/>
          <w:szCs w:val="24"/>
        </w:rPr>
        <w:t xml:space="preserve">for </w:t>
      </w:r>
      <w:r w:rsidR="00D03847">
        <w:rPr>
          <w:rFonts w:ascii="Trebuchet MS" w:hAnsi="Trebuchet MS"/>
          <w:color w:val="000000"/>
          <w:sz w:val="24"/>
          <w:szCs w:val="24"/>
        </w:rPr>
        <w:t xml:space="preserve">or speed-up </w:t>
      </w:r>
      <w:r>
        <w:rPr>
          <w:rFonts w:ascii="Trebuchet MS" w:hAnsi="Trebuchet MS"/>
          <w:color w:val="000000"/>
          <w:sz w:val="24"/>
          <w:szCs w:val="24"/>
        </w:rPr>
        <w:t xml:space="preserve">an APBD </w:t>
      </w:r>
      <w:r w:rsidR="00D03847">
        <w:rPr>
          <w:rFonts w:ascii="Trebuchet MS" w:hAnsi="Trebuchet MS"/>
          <w:color w:val="000000"/>
          <w:sz w:val="24"/>
          <w:szCs w:val="24"/>
        </w:rPr>
        <w:t>treatment or cure</w:t>
      </w:r>
      <w:r>
        <w:rPr>
          <w:rFonts w:ascii="Trebuchet MS" w:hAnsi="Trebuchet MS"/>
          <w:color w:val="000000"/>
          <w:sz w:val="24"/>
          <w:szCs w:val="24"/>
        </w:rPr>
        <w:t>.</w:t>
      </w:r>
      <w:r w:rsidR="00B9080F">
        <w:rPr>
          <w:rFonts w:ascii="Trebuchet MS" w:hAnsi="Trebuchet MS"/>
          <w:color w:val="000000"/>
          <w:sz w:val="24"/>
          <w:szCs w:val="24"/>
        </w:rPr>
        <w:t xml:space="preserve">    </w:t>
      </w:r>
      <w:r w:rsidR="00134B11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276B795E" w14:textId="523C4DF9" w:rsidR="007E2F2C" w:rsidRPr="00A666E3" w:rsidRDefault="001E7AC0" w:rsidP="00A666E3">
      <w:pPr>
        <w:rPr>
          <w:rFonts w:ascii="Trebuchet MS" w:hAnsi="Trebuchet MS"/>
          <w:b/>
          <w:i/>
          <w:color w:val="000000"/>
          <w:sz w:val="28"/>
          <w:szCs w:val="28"/>
        </w:rPr>
      </w:pPr>
      <w:r>
        <w:rPr>
          <w:rFonts w:ascii="Trebuchet MS" w:hAnsi="Trebuchet MS"/>
          <w:b/>
          <w:i/>
          <w:color w:val="000000"/>
          <w:sz w:val="28"/>
          <w:szCs w:val="28"/>
        </w:rPr>
        <w:lastRenderedPageBreak/>
        <w:t>References</w:t>
      </w:r>
    </w:p>
    <w:p w14:paraId="7F325B53" w14:textId="49E68520" w:rsidR="007A192B" w:rsidRDefault="007A192B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8"/>
          <w:szCs w:val="28"/>
        </w:rPr>
      </w:pPr>
    </w:p>
    <w:p w14:paraId="6436BBFC" w14:textId="77777777" w:rsidR="00AF5D97" w:rsidRPr="007B2ADA" w:rsidRDefault="00AF5D97" w:rsidP="00AF5D97">
      <w:pPr>
        <w:pStyle w:val="FootnoteText"/>
        <w:rPr>
          <w:rFonts w:ascii="Trebuchet MS" w:hAnsi="Trebuchet MS"/>
          <w:sz w:val="24"/>
          <w:szCs w:val="24"/>
        </w:rPr>
      </w:pPr>
      <w:r w:rsidRPr="007B2ADA">
        <w:rPr>
          <w:rFonts w:ascii="Trebuchet MS" w:hAnsi="Trebuchet MS"/>
          <w:sz w:val="24"/>
          <w:szCs w:val="24"/>
        </w:rPr>
        <w:t>Alvarez, J. “Introduction to Bayesian Adaptive Study Designs.” Biostatistics Department, Vanderbilt University of Medicine, November, 2011.</w:t>
      </w:r>
    </w:p>
    <w:p w14:paraId="634B7F3F" w14:textId="77777777" w:rsidR="002C15C1" w:rsidRPr="007B2ADA" w:rsidRDefault="002C15C1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C8188F2" w14:textId="2B6C3C0A" w:rsidR="002C15C1" w:rsidRPr="00AF5D97" w:rsidRDefault="002C15C1" w:rsidP="002C15C1">
      <w:pPr>
        <w:pStyle w:val="FootnoteText"/>
        <w:rPr>
          <w:rFonts w:ascii="Trebuchet MS" w:hAnsi="Trebuchet MS"/>
          <w:sz w:val="24"/>
          <w:szCs w:val="24"/>
        </w:rPr>
      </w:pPr>
      <w:r w:rsidRPr="007B2ADA">
        <w:rPr>
          <w:rFonts w:ascii="Trebuchet MS" w:hAnsi="Trebuchet MS" w:cstheme="minorHAnsi"/>
          <w:sz w:val="24"/>
          <w:szCs w:val="24"/>
        </w:rPr>
        <w:t>APBD research projects in the pipeline</w:t>
      </w:r>
      <w:r w:rsidR="00890FBD">
        <w:rPr>
          <w:rFonts w:ascii="Trebuchet MS" w:hAnsi="Trebuchet MS" w:cstheme="minorHAnsi"/>
          <w:sz w:val="24"/>
          <w:szCs w:val="24"/>
        </w:rPr>
        <w:t xml:space="preserve"> as of May 2017</w:t>
      </w:r>
      <w:r w:rsidRPr="00AF5D97">
        <w:rPr>
          <w:rFonts w:ascii="Trebuchet MS" w:hAnsi="Trebuchet MS" w:cstheme="minorHAnsi"/>
          <w:b/>
          <w:sz w:val="24"/>
          <w:szCs w:val="24"/>
        </w:rPr>
        <w:t xml:space="preserve">: </w:t>
      </w:r>
      <w:hyperlink r:id="rId9" w:history="1">
        <w:r w:rsidRPr="00AF5D97">
          <w:rPr>
            <w:rStyle w:val="Hyperlink"/>
            <w:rFonts w:ascii="Trebuchet MS" w:hAnsi="Trebuchet MS" w:cstheme="minorHAnsi"/>
            <w:b/>
            <w:sz w:val="24"/>
            <w:szCs w:val="24"/>
          </w:rPr>
          <w:t>https://apbdrf.org/research/what-were-working-on</w:t>
        </w:r>
      </w:hyperlink>
      <w:r w:rsidR="00890FBD">
        <w:rPr>
          <w:rStyle w:val="Hyperlink"/>
          <w:rFonts w:ascii="Trebuchet MS" w:hAnsi="Trebuchet MS" w:cstheme="minorHAnsi"/>
          <w:b/>
          <w:sz w:val="24"/>
          <w:szCs w:val="24"/>
        </w:rPr>
        <w:t xml:space="preserve"> </w:t>
      </w:r>
    </w:p>
    <w:p w14:paraId="35B76533" w14:textId="77777777" w:rsidR="002C15C1" w:rsidRPr="00AF5D97" w:rsidRDefault="002C15C1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2B8DEDC6" w14:textId="67330C8F" w:rsidR="007A192B" w:rsidRPr="00AF5D97" w:rsidRDefault="007A192B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AF5D97">
        <w:rPr>
          <w:rFonts w:ascii="Trebuchet MS" w:hAnsi="Trebuchet MS" w:cs="ArialMT"/>
          <w:color w:val="000000"/>
          <w:sz w:val="24"/>
          <w:szCs w:val="24"/>
        </w:rPr>
        <w:t>FDA, “</w:t>
      </w:r>
      <w:r w:rsidRPr="00AF5D97">
        <w:rPr>
          <w:rFonts w:ascii="Trebuchet MS" w:hAnsi="Trebuchet MS"/>
          <w:i/>
          <w:sz w:val="24"/>
          <w:szCs w:val="24"/>
        </w:rPr>
        <w:t>Adaptive Design Clinical Trials for Drugs and Biologics</w:t>
      </w:r>
      <w:r w:rsidRPr="00AF5D97">
        <w:rPr>
          <w:rFonts w:ascii="Trebuchet MS" w:hAnsi="Trebuchet MS"/>
          <w:sz w:val="24"/>
          <w:szCs w:val="24"/>
        </w:rPr>
        <w:t xml:space="preserve">,” </w:t>
      </w:r>
      <w:r w:rsidR="00AF5D97" w:rsidRPr="00AF5D97">
        <w:rPr>
          <w:rFonts w:ascii="Trebuchet MS" w:hAnsi="Trebuchet MS"/>
          <w:sz w:val="24"/>
          <w:szCs w:val="24"/>
          <w:u w:val="single"/>
        </w:rPr>
        <w:t>Draft Guidance</w:t>
      </w:r>
      <w:r w:rsidR="00AF5D97">
        <w:rPr>
          <w:rFonts w:ascii="Trebuchet MS" w:hAnsi="Trebuchet MS"/>
          <w:sz w:val="24"/>
          <w:szCs w:val="24"/>
        </w:rPr>
        <w:t xml:space="preserve"> </w:t>
      </w:r>
      <w:r w:rsidR="001668A2" w:rsidRPr="00AF5D97">
        <w:rPr>
          <w:rFonts w:ascii="Trebuchet MS" w:hAnsi="Trebuchet MS"/>
          <w:sz w:val="24"/>
          <w:szCs w:val="24"/>
        </w:rPr>
        <w:t xml:space="preserve">February </w:t>
      </w:r>
      <w:r w:rsidRPr="00AF5D97">
        <w:rPr>
          <w:rFonts w:ascii="Trebuchet MS" w:hAnsi="Trebuchet MS"/>
          <w:sz w:val="24"/>
          <w:szCs w:val="24"/>
        </w:rPr>
        <w:t>2010</w:t>
      </w:r>
      <w:r w:rsidR="001668A2" w:rsidRPr="00AF5D97">
        <w:rPr>
          <w:rFonts w:ascii="Trebuchet MS" w:hAnsi="Trebuchet MS"/>
          <w:sz w:val="24"/>
          <w:szCs w:val="24"/>
        </w:rPr>
        <w:t>.</w:t>
      </w:r>
    </w:p>
    <w:p w14:paraId="2021B87F" w14:textId="48AFB0C2" w:rsidR="001E7AC0" w:rsidRPr="00AF5D97" w:rsidRDefault="001E7AC0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i/>
          <w:color w:val="000000"/>
          <w:sz w:val="24"/>
          <w:szCs w:val="24"/>
        </w:rPr>
      </w:pPr>
    </w:p>
    <w:p w14:paraId="171CED67" w14:textId="58B98C75" w:rsidR="001E7AC0" w:rsidRPr="00AF5D97" w:rsidRDefault="00C3222A" w:rsidP="00A1219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AF5D97">
        <w:rPr>
          <w:rFonts w:ascii="Trebuchet MS" w:hAnsi="Trebuchet MS"/>
          <w:color w:val="000000"/>
          <w:sz w:val="24"/>
          <w:szCs w:val="24"/>
        </w:rPr>
        <w:t>FDA</w:t>
      </w:r>
      <w:r w:rsidR="00AF5D97">
        <w:rPr>
          <w:rFonts w:ascii="Trebuchet MS" w:hAnsi="Trebuchet MS"/>
          <w:color w:val="000000"/>
          <w:sz w:val="24"/>
          <w:szCs w:val="24"/>
        </w:rPr>
        <w:t>,</w:t>
      </w:r>
      <w:r w:rsidRPr="00AF5D97">
        <w:rPr>
          <w:rFonts w:ascii="Trebuchet MS" w:hAnsi="Trebuchet MS"/>
          <w:color w:val="000000"/>
          <w:sz w:val="24"/>
          <w:szCs w:val="24"/>
        </w:rPr>
        <w:t xml:space="preserve"> </w:t>
      </w:r>
      <w:r w:rsidRPr="00AF5D97">
        <w:rPr>
          <w:rFonts w:ascii="Trebuchet MS" w:hAnsi="Trebuchet MS" w:cs="Courier"/>
          <w:sz w:val="24"/>
          <w:szCs w:val="24"/>
        </w:rPr>
        <w:t>“</w:t>
      </w:r>
      <w:r w:rsidRPr="00AF5D97">
        <w:rPr>
          <w:rFonts w:ascii="Trebuchet MS" w:hAnsi="Trebuchet MS" w:cs="Courier"/>
          <w:i/>
          <w:sz w:val="24"/>
          <w:szCs w:val="24"/>
        </w:rPr>
        <w:t>Promoting the Use of Complex Innovative Designs [CID] in Clinical Trials</w:t>
      </w:r>
      <w:r w:rsidRPr="00AF5D97">
        <w:rPr>
          <w:rFonts w:ascii="Trebuchet MS" w:hAnsi="Trebuchet MS" w:cs="Courier"/>
          <w:sz w:val="24"/>
          <w:szCs w:val="24"/>
        </w:rPr>
        <w:t xml:space="preserve">,” </w:t>
      </w:r>
      <w:r w:rsidR="00756323" w:rsidRPr="00756323">
        <w:rPr>
          <w:rFonts w:ascii="Trebuchet MS" w:hAnsi="Trebuchet MS" w:cs="Courier"/>
          <w:sz w:val="24"/>
          <w:szCs w:val="24"/>
          <w:u w:val="single"/>
        </w:rPr>
        <w:t>Workshop Transcript</w:t>
      </w:r>
      <w:r w:rsidR="00756323">
        <w:rPr>
          <w:rFonts w:ascii="Trebuchet MS" w:hAnsi="Trebuchet MS" w:cs="Courier"/>
          <w:sz w:val="24"/>
          <w:szCs w:val="24"/>
          <w:u w:val="single"/>
        </w:rPr>
        <w:t>,</w:t>
      </w:r>
      <w:r w:rsidR="00756323">
        <w:rPr>
          <w:rFonts w:ascii="Trebuchet MS" w:hAnsi="Trebuchet MS" w:cs="Courier"/>
          <w:sz w:val="24"/>
          <w:szCs w:val="24"/>
        </w:rPr>
        <w:t xml:space="preserve"> </w:t>
      </w:r>
      <w:r w:rsidR="001668A2" w:rsidRPr="00AF5D97">
        <w:rPr>
          <w:rFonts w:ascii="Trebuchet MS" w:hAnsi="Trebuchet MS" w:cs="Courier"/>
          <w:sz w:val="24"/>
          <w:szCs w:val="24"/>
        </w:rPr>
        <w:t xml:space="preserve">March 20, </w:t>
      </w:r>
      <w:r w:rsidRPr="00AF5D97">
        <w:rPr>
          <w:rFonts w:ascii="Trebuchet MS" w:hAnsi="Trebuchet MS" w:cs="Courier"/>
          <w:sz w:val="24"/>
          <w:szCs w:val="24"/>
        </w:rPr>
        <w:t>2018</w:t>
      </w:r>
      <w:r w:rsidR="001668A2" w:rsidRPr="00AF5D97">
        <w:rPr>
          <w:rFonts w:ascii="Trebuchet MS" w:hAnsi="Trebuchet MS" w:cs="Courier"/>
          <w:sz w:val="24"/>
          <w:szCs w:val="24"/>
        </w:rPr>
        <w:t>.</w:t>
      </w:r>
    </w:p>
    <w:p w14:paraId="1B50C705" w14:textId="6402B0DC" w:rsidR="000E0594" w:rsidRPr="00AF5D97" w:rsidRDefault="000E0594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2A0E7F1E" w14:textId="72F969DD" w:rsidR="003D1648" w:rsidRPr="00AF5D97" w:rsidRDefault="003D1648" w:rsidP="002C15C1">
      <w:pPr>
        <w:pStyle w:val="FootnoteText"/>
        <w:rPr>
          <w:rFonts w:ascii="Trebuchet MS" w:hAnsi="Trebuchet MS"/>
          <w:color w:val="000000"/>
          <w:sz w:val="24"/>
          <w:szCs w:val="24"/>
        </w:rPr>
      </w:pPr>
      <w:r w:rsidRPr="00AF5D97">
        <w:rPr>
          <w:rFonts w:ascii="Trebuchet MS" w:hAnsi="Trebuchet MS" w:cstheme="minorHAnsi"/>
          <w:sz w:val="24"/>
          <w:szCs w:val="24"/>
        </w:rPr>
        <w:t xml:space="preserve">Jadhav, S. “In Modeling and Simulation in Clinical Trials: Real Potential or Hype?” </w:t>
      </w:r>
      <w:r w:rsidRPr="00AF5D97">
        <w:rPr>
          <w:rFonts w:ascii="Trebuchet MS" w:hAnsi="Trebuchet MS" w:cstheme="minorHAnsi"/>
          <w:sz w:val="24"/>
          <w:szCs w:val="24"/>
          <w:u w:val="single"/>
        </w:rPr>
        <w:t>Applied Clinical Trials</w:t>
      </w:r>
      <w:r w:rsidRPr="00AF5D97">
        <w:rPr>
          <w:rFonts w:ascii="Trebuchet MS" w:hAnsi="Trebuchet MS" w:cstheme="minorHAnsi"/>
          <w:sz w:val="24"/>
          <w:szCs w:val="24"/>
        </w:rPr>
        <w:t>, February 2017</w:t>
      </w:r>
      <w:r w:rsidR="008D3947">
        <w:rPr>
          <w:rFonts w:ascii="Trebuchet MS" w:hAnsi="Trebuchet MS" w:cstheme="minorHAnsi"/>
          <w:sz w:val="24"/>
          <w:szCs w:val="24"/>
        </w:rPr>
        <w:t>.</w:t>
      </w:r>
    </w:p>
    <w:p w14:paraId="7DA7F375" w14:textId="77777777" w:rsidR="003D1648" w:rsidRPr="00AF5D97" w:rsidRDefault="003D1648" w:rsidP="002C15C1">
      <w:pPr>
        <w:pStyle w:val="FootnoteText"/>
        <w:rPr>
          <w:rFonts w:ascii="Trebuchet MS" w:hAnsi="Trebuchet MS"/>
          <w:color w:val="000000"/>
          <w:sz w:val="24"/>
          <w:szCs w:val="24"/>
        </w:rPr>
      </w:pPr>
    </w:p>
    <w:p w14:paraId="744AFCA0" w14:textId="4A96B4E4" w:rsidR="00F74D56" w:rsidRPr="008D3947" w:rsidRDefault="00171D02" w:rsidP="00F74D56">
      <w:pPr>
        <w:pStyle w:val="FootnoteTex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Schiffmann</w:t>
      </w:r>
      <w:r w:rsidR="004E06B1">
        <w:rPr>
          <w:rFonts w:ascii="Trebuchet MS" w:hAnsi="Trebuchet MS"/>
          <w:color w:val="000000"/>
          <w:sz w:val="24"/>
          <w:szCs w:val="24"/>
        </w:rPr>
        <w:t>, R.</w:t>
      </w:r>
      <w:r>
        <w:rPr>
          <w:rFonts w:ascii="Trebuchet MS" w:hAnsi="Trebuchet MS"/>
          <w:color w:val="000000"/>
          <w:sz w:val="24"/>
          <w:szCs w:val="24"/>
        </w:rPr>
        <w:t xml:space="preserve"> and others, </w:t>
      </w:r>
      <w:r w:rsidR="008D3947">
        <w:rPr>
          <w:rFonts w:ascii="Trebuchet MS" w:hAnsi="Trebuchet MS"/>
          <w:color w:val="000000"/>
          <w:sz w:val="24"/>
          <w:szCs w:val="24"/>
        </w:rPr>
        <w:t>“</w:t>
      </w:r>
      <w:r w:rsidR="006A1158" w:rsidRPr="008D3947">
        <w:rPr>
          <w:rFonts w:ascii="Trebuchet MS" w:hAnsi="Trebuchet MS"/>
          <w:i/>
          <w:color w:val="111111"/>
          <w:sz w:val="24"/>
          <w:szCs w:val="24"/>
        </w:rPr>
        <w:t>A double-blind, placebo-controlled trial of triheptanoin in adult polyglucosan body disease and open-label, long-term outcome</w:t>
      </w:r>
      <w:r w:rsidR="008D3947" w:rsidRPr="008D3947">
        <w:rPr>
          <w:rFonts w:ascii="Trebuchet MS" w:hAnsi="Trebuchet MS"/>
          <w:i/>
          <w:color w:val="111111"/>
          <w:sz w:val="24"/>
          <w:szCs w:val="24"/>
        </w:rPr>
        <w:t>,</w:t>
      </w:r>
      <w:r w:rsidR="008D3947">
        <w:rPr>
          <w:rFonts w:ascii="Trebuchet MS" w:hAnsi="Trebuchet MS"/>
          <w:color w:val="111111"/>
          <w:sz w:val="24"/>
          <w:szCs w:val="24"/>
        </w:rPr>
        <w:t xml:space="preserve">” </w:t>
      </w:r>
      <w:r w:rsidR="008D3947" w:rsidRPr="008D3947">
        <w:rPr>
          <w:rFonts w:ascii="Trebuchet MS" w:hAnsi="Trebuchet MS"/>
          <w:color w:val="111111"/>
          <w:sz w:val="24"/>
          <w:szCs w:val="24"/>
          <w:u w:val="single"/>
        </w:rPr>
        <w:t>Journal of Inherited Metabolic Disease</w:t>
      </w:r>
      <w:r w:rsidR="008D3947">
        <w:rPr>
          <w:rFonts w:ascii="Trebuchet MS" w:hAnsi="Trebuchet MS"/>
          <w:color w:val="111111"/>
          <w:sz w:val="24"/>
          <w:szCs w:val="24"/>
        </w:rPr>
        <w:t>, November 2017.</w:t>
      </w:r>
      <w:r w:rsidR="00F74D56" w:rsidRPr="008D3947">
        <w:rPr>
          <w:rFonts w:ascii="Trebuchet MS" w:hAnsi="Trebuchet MS"/>
          <w:color w:val="000000"/>
          <w:sz w:val="24"/>
          <w:szCs w:val="24"/>
        </w:rPr>
        <w:t xml:space="preserve">                          </w:t>
      </w:r>
    </w:p>
    <w:p w14:paraId="5222A627" w14:textId="7A82048E" w:rsidR="00171D02" w:rsidRDefault="00171D02" w:rsidP="002C15C1">
      <w:pPr>
        <w:pStyle w:val="FootnoteText"/>
        <w:rPr>
          <w:rFonts w:ascii="Trebuchet MS" w:hAnsi="Trebuchet MS"/>
          <w:color w:val="000000"/>
          <w:sz w:val="24"/>
          <w:szCs w:val="24"/>
        </w:rPr>
      </w:pPr>
    </w:p>
    <w:p w14:paraId="5CF393E1" w14:textId="164D1092" w:rsidR="002C15C1" w:rsidRPr="00AF5D97" w:rsidRDefault="002C15C1" w:rsidP="002C15C1">
      <w:pPr>
        <w:pStyle w:val="FootnoteText"/>
        <w:rPr>
          <w:rStyle w:val="Hyperlink"/>
          <w:rFonts w:ascii="Trebuchet MS" w:hAnsi="Trebuchet MS"/>
          <w:b/>
          <w:sz w:val="24"/>
          <w:szCs w:val="24"/>
        </w:rPr>
      </w:pPr>
      <w:r w:rsidRPr="00AF5D97">
        <w:rPr>
          <w:rFonts w:ascii="Trebuchet MS" w:hAnsi="Trebuchet MS"/>
          <w:color w:val="000000"/>
          <w:sz w:val="24"/>
          <w:szCs w:val="24"/>
        </w:rPr>
        <w:t xml:space="preserve">Schwartz, L. </w:t>
      </w:r>
      <w:r w:rsidRPr="00AF5D97">
        <w:rPr>
          <w:rFonts w:ascii="Trebuchet MS" w:hAnsi="Trebuchet MS"/>
          <w:b/>
          <w:sz w:val="24"/>
          <w:szCs w:val="24"/>
        </w:rPr>
        <w:t>“</w:t>
      </w:r>
      <w:r w:rsidRPr="007B2ADA">
        <w:rPr>
          <w:rFonts w:ascii="Trebuchet MS" w:hAnsi="Trebuchet MS"/>
          <w:i/>
          <w:sz w:val="24"/>
          <w:szCs w:val="24"/>
        </w:rPr>
        <w:t>APBD Heterogeneity: The Case of the Triheptanoin Trial</w:t>
      </w:r>
      <w:r w:rsidRPr="007B2ADA">
        <w:rPr>
          <w:rFonts w:ascii="Trebuchet MS" w:hAnsi="Trebuchet MS"/>
          <w:sz w:val="24"/>
          <w:szCs w:val="24"/>
        </w:rPr>
        <w:t>,” January 2018; see Heterogeneity of the APBD Condition</w:t>
      </w:r>
      <w:r w:rsidRPr="00AF5D97">
        <w:rPr>
          <w:rFonts w:ascii="Trebuchet MS" w:hAnsi="Trebuchet MS"/>
          <w:b/>
          <w:sz w:val="24"/>
          <w:szCs w:val="24"/>
        </w:rPr>
        <w:t xml:space="preserve">, </w:t>
      </w:r>
      <w:hyperlink r:id="rId10" w:history="1">
        <w:r w:rsidRPr="00AF5D97">
          <w:rPr>
            <w:rStyle w:val="Hyperlink"/>
            <w:rFonts w:ascii="Trebuchet MS" w:hAnsi="Trebuchet MS"/>
            <w:b/>
            <w:sz w:val="24"/>
            <w:szCs w:val="24"/>
          </w:rPr>
          <w:t>https://apbdrf.org/research/clinical-trial-considerations</w:t>
        </w:r>
      </w:hyperlink>
    </w:p>
    <w:p w14:paraId="29EDC777" w14:textId="2209E3AB" w:rsidR="00F10345" w:rsidRPr="00AF5D97" w:rsidRDefault="00F10345" w:rsidP="002C15C1">
      <w:pPr>
        <w:pStyle w:val="FootnoteText"/>
        <w:rPr>
          <w:rFonts w:ascii="Trebuchet MS" w:hAnsi="Trebuchet MS"/>
          <w:b/>
          <w:sz w:val="24"/>
          <w:szCs w:val="24"/>
        </w:rPr>
      </w:pPr>
    </w:p>
    <w:p w14:paraId="4AC634C7" w14:textId="0DFAA34F" w:rsidR="00554659" w:rsidRPr="00AF5D97" w:rsidRDefault="00554659" w:rsidP="0055465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  <w:r w:rsidRPr="00AF5D97">
        <w:rPr>
          <w:rFonts w:ascii="Trebuchet MS" w:hAnsi="Trebuchet MS" w:cs="ArialMT"/>
          <w:color w:val="000000"/>
          <w:sz w:val="24"/>
          <w:szCs w:val="24"/>
        </w:rPr>
        <w:t xml:space="preserve">Schwartz, L. “The Case for APBD Trials with Two Arms,” January 15, 2018; see Design/protocol, </w:t>
      </w:r>
      <w:hyperlink r:id="rId11" w:history="1">
        <w:r w:rsidR="00C1670A" w:rsidRPr="00AF5D97">
          <w:rPr>
            <w:rStyle w:val="Hyperlink"/>
            <w:rFonts w:ascii="Trebuchet MS" w:hAnsi="Trebuchet MS"/>
            <w:b/>
            <w:sz w:val="24"/>
            <w:szCs w:val="24"/>
          </w:rPr>
          <w:t>https://apbdrf.org/research/clinical-trial-considerations</w:t>
        </w:r>
      </w:hyperlink>
      <w:r w:rsidRPr="00AF5D97">
        <w:rPr>
          <w:rFonts w:ascii="Trebuchet MS" w:hAnsi="Trebuchet MS" w:cs="ArialMT"/>
          <w:color w:val="000000"/>
          <w:sz w:val="24"/>
          <w:szCs w:val="24"/>
        </w:rPr>
        <w:t xml:space="preserve"> </w:t>
      </w:r>
    </w:p>
    <w:p w14:paraId="706FDCE0" w14:textId="77777777" w:rsidR="00F10345" w:rsidRPr="00AF5D97" w:rsidRDefault="00F10345" w:rsidP="002C15C1">
      <w:pPr>
        <w:pStyle w:val="FootnoteText"/>
        <w:rPr>
          <w:rFonts w:ascii="Trebuchet MS" w:hAnsi="Trebuchet MS"/>
          <w:b/>
          <w:sz w:val="24"/>
          <w:szCs w:val="24"/>
        </w:rPr>
      </w:pPr>
    </w:p>
    <w:p w14:paraId="6CFED93A" w14:textId="772B8E00" w:rsidR="00530589" w:rsidRPr="00AF5D97" w:rsidRDefault="0053058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49589686" w14:textId="77777777" w:rsidR="00530589" w:rsidRPr="00AF5D97" w:rsidRDefault="0053058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42018D1E" w14:textId="77777777" w:rsidR="00530589" w:rsidRPr="00AF5D97" w:rsidRDefault="0053058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2CBD4984" w14:textId="77777777" w:rsidR="00530589" w:rsidRDefault="00530589" w:rsidP="00C41E41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14:paraId="381C99E3" w14:textId="3C486EBC" w:rsidR="00897BE7" w:rsidRDefault="00897BE7" w:rsidP="00C41E41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14:paraId="08F4BC3C" w14:textId="2FE60391" w:rsidR="0020270D" w:rsidRDefault="0020270D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11462F01" w14:textId="77777777" w:rsidR="0020270D" w:rsidRPr="00AC4B2D" w:rsidRDefault="0020270D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34EF9DA1" w14:textId="677EF7F0" w:rsidR="000B3A39" w:rsidRDefault="000B3A3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CFA92D9" w14:textId="77777777" w:rsidR="000B3A39" w:rsidRPr="00DA7881" w:rsidRDefault="000B3A39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F6C3519" w14:textId="77777777" w:rsidR="004A42E2" w:rsidRDefault="004A42E2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51039ED1" w14:textId="5E084C83" w:rsidR="0003555F" w:rsidRDefault="008C335E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  <w:r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</w:t>
      </w:r>
      <w:r w:rsidR="0003555F" w:rsidRPr="00C74ECD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</w:t>
      </w:r>
      <w:r w:rsidR="00BF4462" w:rsidRPr="00C74ECD">
        <w:rPr>
          <w:rFonts w:ascii="Trebuchet MS" w:hAnsi="Trebuchet MS" w:cs="ArialMT"/>
          <w:b/>
          <w:i/>
          <w:color w:val="000000"/>
          <w:sz w:val="28"/>
          <w:szCs w:val="28"/>
        </w:rPr>
        <w:t xml:space="preserve"> </w:t>
      </w:r>
    </w:p>
    <w:p w14:paraId="7F070BE2" w14:textId="4C5FCF71" w:rsidR="00C74ECD" w:rsidRDefault="00C74ECD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b/>
          <w:i/>
          <w:color w:val="000000"/>
          <w:sz w:val="28"/>
          <w:szCs w:val="28"/>
        </w:rPr>
      </w:pPr>
    </w:p>
    <w:p w14:paraId="12A60316" w14:textId="77777777" w:rsidR="00C74ECD" w:rsidRPr="00C74ECD" w:rsidRDefault="00C74ECD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3325F197" w14:textId="77777777" w:rsidR="0003555F" w:rsidRDefault="0003555F" w:rsidP="00C4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65828070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6B04E747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0A7FDAD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D03D766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D23130A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6CCF9C2E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A224435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7B5EC274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78996B8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A8A5EFB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96488DE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37659026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17AF92D4" w14:textId="77777777" w:rsidR="002973EF" w:rsidRDefault="002973EF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49352F68" w14:textId="77777777" w:rsidR="00880DF3" w:rsidRDefault="00880DF3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5A0933E9" w14:textId="45AE2A45" w:rsidR="00D20C1D" w:rsidRPr="00467EC1" w:rsidRDefault="00D20C1D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6C3F8841" w14:textId="77777777" w:rsidR="00C36666" w:rsidRPr="00467EC1" w:rsidRDefault="00C36666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028F283F" w14:textId="4DF54F0A" w:rsidR="00484E85" w:rsidRDefault="00484E85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000000"/>
          <w:sz w:val="24"/>
          <w:szCs w:val="24"/>
        </w:rPr>
      </w:pPr>
    </w:p>
    <w:p w14:paraId="2790DA25" w14:textId="77777777" w:rsidR="00484E85" w:rsidRDefault="00484E85" w:rsidP="00D20C1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/>
          <w:iCs/>
          <w:color w:val="000000"/>
          <w:sz w:val="24"/>
          <w:szCs w:val="24"/>
        </w:rPr>
      </w:pPr>
    </w:p>
    <w:p w14:paraId="341C05B7" w14:textId="63359AA3" w:rsidR="00F44FF8" w:rsidRPr="00F44FF8" w:rsidRDefault="00F44FF8" w:rsidP="007F13F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25287D11" w14:textId="184B995A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2746C2C6" w14:textId="3724194A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38A2C61C" w14:textId="5796FE95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56B16EDF" w14:textId="77777777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082B1430" w14:textId="55CC71BB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p w14:paraId="1F34049A" w14:textId="77777777" w:rsidR="0003555F" w:rsidRDefault="0003555F" w:rsidP="00F258A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ItalicMT"/>
          <w:b/>
          <w:bCs/>
          <w:iCs/>
          <w:color w:val="403838"/>
          <w:sz w:val="24"/>
          <w:szCs w:val="24"/>
        </w:rPr>
      </w:pPr>
    </w:p>
    <w:sectPr w:rsidR="0003555F" w:rsidSect="00530F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4E48" w14:textId="77777777" w:rsidR="00680461" w:rsidRDefault="00680461" w:rsidP="007706AB">
      <w:pPr>
        <w:spacing w:after="0" w:line="240" w:lineRule="auto"/>
      </w:pPr>
      <w:r>
        <w:separator/>
      </w:r>
    </w:p>
  </w:endnote>
  <w:endnote w:type="continuationSeparator" w:id="0">
    <w:p w14:paraId="5C656346" w14:textId="77777777" w:rsidR="00680461" w:rsidRDefault="00680461" w:rsidP="0077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9DB6" w14:textId="77777777" w:rsidR="00CB55BC" w:rsidRDefault="00CB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44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7E05B" w14:textId="7FD4872F" w:rsidR="00784894" w:rsidRDefault="00784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99641" w14:textId="77777777" w:rsidR="00CB55BC" w:rsidRDefault="00CB5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303B" w14:textId="77777777" w:rsidR="00CB55BC" w:rsidRDefault="00CB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C211" w14:textId="77777777" w:rsidR="00680461" w:rsidRDefault="00680461" w:rsidP="007706AB">
      <w:pPr>
        <w:spacing w:after="0" w:line="240" w:lineRule="auto"/>
      </w:pPr>
      <w:r>
        <w:separator/>
      </w:r>
    </w:p>
  </w:footnote>
  <w:footnote w:type="continuationSeparator" w:id="0">
    <w:p w14:paraId="16F8FDE1" w14:textId="77777777" w:rsidR="00680461" w:rsidRDefault="00680461" w:rsidP="007706AB">
      <w:pPr>
        <w:spacing w:after="0" w:line="240" w:lineRule="auto"/>
      </w:pPr>
      <w:r>
        <w:continuationSeparator/>
      </w:r>
    </w:p>
  </w:footnote>
  <w:footnote w:id="1">
    <w:p w14:paraId="3B9DFA02" w14:textId="4AEA5427" w:rsidR="00F77768" w:rsidRDefault="00131B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1B50">
        <w:rPr>
          <w:rFonts w:cstheme="minorHAnsi"/>
          <w:b/>
          <w:sz w:val="16"/>
          <w:szCs w:val="16"/>
        </w:rPr>
        <w:t xml:space="preserve">See the following link for a complete set of APBD research projects in the pipeline: </w:t>
      </w:r>
      <w:hyperlink r:id="rId1" w:history="1">
        <w:r w:rsidRPr="00131B50">
          <w:rPr>
            <w:rStyle w:val="Hyperlink"/>
            <w:rFonts w:cstheme="minorHAnsi"/>
            <w:b/>
            <w:sz w:val="16"/>
            <w:szCs w:val="16"/>
          </w:rPr>
          <w:t>https://apbdrf.org/research/what-were-working-on</w:t>
        </w:r>
      </w:hyperlink>
    </w:p>
  </w:footnote>
  <w:footnote w:id="2">
    <w:p w14:paraId="68595268" w14:textId="2DAFBCFF" w:rsidR="00F77768" w:rsidRPr="00AC3AE0" w:rsidRDefault="00F77768">
      <w:pPr>
        <w:pStyle w:val="FootnoteText"/>
        <w:rPr>
          <w:b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77768">
        <w:rPr>
          <w:b/>
          <w:sz w:val="16"/>
          <w:szCs w:val="16"/>
        </w:rPr>
        <w:t xml:space="preserve">The author has measured the heterogeneity of APBD patients </w:t>
      </w:r>
      <w:r w:rsidR="00A37997">
        <w:rPr>
          <w:b/>
          <w:sz w:val="16"/>
          <w:szCs w:val="16"/>
        </w:rPr>
        <w:t xml:space="preserve">in </w:t>
      </w:r>
      <w:r w:rsidRPr="00F77768">
        <w:rPr>
          <w:b/>
          <w:sz w:val="16"/>
          <w:szCs w:val="16"/>
        </w:rPr>
        <w:t>six-minute walk</w:t>
      </w:r>
      <w:r w:rsidR="00A37997">
        <w:rPr>
          <w:b/>
          <w:sz w:val="16"/>
          <w:szCs w:val="16"/>
        </w:rPr>
        <w:t>ing</w:t>
      </w:r>
      <w:r w:rsidRPr="00F77768">
        <w:rPr>
          <w:b/>
          <w:sz w:val="16"/>
          <w:szCs w:val="16"/>
        </w:rPr>
        <w:t xml:space="preserve"> and found that it </w:t>
      </w:r>
      <w:r w:rsidR="006504EA">
        <w:rPr>
          <w:b/>
          <w:sz w:val="16"/>
          <w:szCs w:val="16"/>
        </w:rPr>
        <w:t>was</w:t>
      </w:r>
      <w:r w:rsidRPr="00F77768">
        <w:rPr>
          <w:b/>
          <w:sz w:val="16"/>
          <w:szCs w:val="16"/>
        </w:rPr>
        <w:t xml:space="preserve"> four times as great as what an assay laboratory would accept</w:t>
      </w:r>
      <w:r w:rsidR="00A37997">
        <w:rPr>
          <w:b/>
          <w:sz w:val="16"/>
          <w:szCs w:val="16"/>
        </w:rPr>
        <w:t xml:space="preserve"> for its work</w:t>
      </w:r>
      <w:r w:rsidRPr="00F77768">
        <w:rPr>
          <w:b/>
          <w:sz w:val="16"/>
          <w:szCs w:val="16"/>
        </w:rPr>
        <w:t xml:space="preserve">. </w:t>
      </w:r>
      <w:r w:rsidRPr="00AC3AE0">
        <w:rPr>
          <w:b/>
          <w:sz w:val="16"/>
          <w:szCs w:val="16"/>
        </w:rPr>
        <w:t xml:space="preserve">See </w:t>
      </w:r>
      <w:r w:rsidR="00A0113A" w:rsidRPr="00AC3AE0">
        <w:rPr>
          <w:b/>
          <w:sz w:val="16"/>
          <w:szCs w:val="16"/>
        </w:rPr>
        <w:t>“</w:t>
      </w:r>
      <w:r w:rsidR="00A0113A" w:rsidRPr="00AC3AE0">
        <w:rPr>
          <w:b/>
          <w:i/>
          <w:sz w:val="16"/>
          <w:szCs w:val="16"/>
        </w:rPr>
        <w:t>Heterogeneity</w:t>
      </w:r>
      <w:r w:rsidR="00D342C3">
        <w:rPr>
          <w:b/>
          <w:i/>
          <w:sz w:val="16"/>
          <w:szCs w:val="16"/>
        </w:rPr>
        <w:t xml:space="preserve"> in the </w:t>
      </w:r>
      <w:r w:rsidR="00DB5DA9">
        <w:rPr>
          <w:b/>
          <w:i/>
          <w:sz w:val="16"/>
          <w:szCs w:val="16"/>
        </w:rPr>
        <w:t>APBD Condition</w:t>
      </w:r>
      <w:r w:rsidR="00A0113A" w:rsidRPr="00AC3AE0">
        <w:rPr>
          <w:b/>
          <w:i/>
          <w:sz w:val="16"/>
          <w:szCs w:val="16"/>
        </w:rPr>
        <w:t>: The Case of the Triheptanoin Trial</w:t>
      </w:r>
      <w:r w:rsidR="00A0113A" w:rsidRPr="00AC3AE0">
        <w:rPr>
          <w:b/>
          <w:sz w:val="16"/>
          <w:szCs w:val="16"/>
        </w:rPr>
        <w:t>,</w:t>
      </w:r>
      <w:r w:rsidR="00AC3AE0">
        <w:rPr>
          <w:b/>
          <w:sz w:val="16"/>
          <w:szCs w:val="16"/>
        </w:rPr>
        <w:t>”</w:t>
      </w:r>
      <w:r w:rsidR="00A0113A" w:rsidRPr="00AC3AE0">
        <w:rPr>
          <w:b/>
          <w:sz w:val="16"/>
          <w:szCs w:val="16"/>
        </w:rPr>
        <w:t xml:space="preserve"> January 2018; </w:t>
      </w:r>
      <w:r w:rsidR="001E6EF0">
        <w:rPr>
          <w:b/>
          <w:sz w:val="16"/>
          <w:szCs w:val="16"/>
        </w:rPr>
        <w:t xml:space="preserve">see </w:t>
      </w:r>
      <w:r w:rsidR="001E6EF0" w:rsidRPr="00AC3AE0">
        <w:rPr>
          <w:b/>
          <w:sz w:val="16"/>
          <w:szCs w:val="16"/>
        </w:rPr>
        <w:t>Heterogeneity of the APBD Condition</w:t>
      </w:r>
      <w:r w:rsidR="001E6EF0">
        <w:rPr>
          <w:b/>
          <w:sz w:val="16"/>
          <w:szCs w:val="16"/>
        </w:rPr>
        <w:t xml:space="preserve">, </w:t>
      </w:r>
      <w:hyperlink r:id="rId2" w:history="1">
        <w:r w:rsidR="001E6EF0" w:rsidRPr="0055064F">
          <w:rPr>
            <w:rStyle w:val="Hyperlink"/>
            <w:b/>
            <w:sz w:val="16"/>
            <w:szCs w:val="16"/>
          </w:rPr>
          <w:t>https://apbdrf.org/research/clinical-trial-considerations</w:t>
        </w:r>
      </w:hyperlink>
    </w:p>
  </w:footnote>
  <w:footnote w:id="3">
    <w:p w14:paraId="4D454B53" w14:textId="77777777" w:rsidR="00C75C3F" w:rsidRPr="00017A06" w:rsidRDefault="00C75C3F" w:rsidP="00C75C3F">
      <w:pPr>
        <w:pStyle w:val="Heading2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185292"/>
          <w:sz w:val="16"/>
          <w:szCs w:val="16"/>
        </w:rPr>
      </w:pPr>
      <w:r w:rsidRPr="00B0664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017A06">
        <w:rPr>
          <w:rFonts w:asciiTheme="minorHAnsi" w:hAnsiTheme="minorHAnsi" w:cstheme="minorHAnsi"/>
          <w:sz w:val="16"/>
          <w:szCs w:val="16"/>
        </w:rPr>
        <w:t xml:space="preserve">Jadhav, S. “In </w:t>
      </w:r>
      <w:r w:rsidRPr="00B06647">
        <w:rPr>
          <w:rFonts w:asciiTheme="minorHAnsi" w:hAnsiTheme="minorHAnsi" w:cstheme="minorHAnsi"/>
          <w:bCs w:val="0"/>
          <w:sz w:val="16"/>
          <w:szCs w:val="16"/>
        </w:rPr>
        <w:t xml:space="preserve">Modeling and Simulation in Clinical Trials: Real Potential or Hype?” </w:t>
      </w:r>
      <w:r w:rsidRPr="00C1670A">
        <w:rPr>
          <w:rFonts w:asciiTheme="minorHAnsi" w:hAnsiTheme="minorHAnsi" w:cstheme="minorHAnsi"/>
          <w:bCs w:val="0"/>
          <w:sz w:val="16"/>
          <w:szCs w:val="16"/>
          <w:u w:val="single"/>
        </w:rPr>
        <w:t>Applied Clinical Trials</w:t>
      </w:r>
      <w:r w:rsidRPr="00B06647">
        <w:rPr>
          <w:rFonts w:asciiTheme="minorHAnsi" w:hAnsiTheme="minorHAnsi" w:cstheme="minorHAnsi"/>
          <w:bCs w:val="0"/>
          <w:sz w:val="16"/>
          <w:szCs w:val="16"/>
        </w:rPr>
        <w:t>, February 2017</w:t>
      </w:r>
      <w:r>
        <w:rPr>
          <w:rFonts w:asciiTheme="minorHAnsi" w:hAnsiTheme="minorHAnsi" w:cstheme="minorHAnsi"/>
          <w:bCs w:val="0"/>
          <w:color w:val="185292"/>
          <w:sz w:val="16"/>
          <w:szCs w:val="16"/>
        </w:rPr>
        <w:t>:</w:t>
      </w:r>
    </w:p>
    <w:p w14:paraId="766797C0" w14:textId="77777777" w:rsidR="00C75C3F" w:rsidRPr="00017A06" w:rsidRDefault="00C75C3F" w:rsidP="00C75C3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52525"/>
          <w:sz w:val="16"/>
          <w:szCs w:val="16"/>
        </w:rPr>
      </w:pPr>
      <w:r>
        <w:rPr>
          <w:rFonts w:asciiTheme="minorHAnsi" w:hAnsiTheme="minorHAnsi" w:cstheme="minorHAnsi"/>
          <w:b/>
          <w:color w:val="252525"/>
          <w:sz w:val="16"/>
          <w:szCs w:val="16"/>
        </w:rPr>
        <w:t>….”</w:t>
      </w:r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 Recently, many of the </w:t>
      </w:r>
      <w:hyperlink r:id="rId3" w:tgtFrame="_blank" w:history="1">
        <w:r w:rsidRPr="00017A06">
          <w:rPr>
            <w:rStyle w:val="Hyperlink"/>
            <w:rFonts w:asciiTheme="minorHAnsi" w:hAnsiTheme="minorHAnsi" w:cstheme="minorHAnsi"/>
            <w:b/>
            <w:color w:val="135396"/>
            <w:sz w:val="16"/>
            <w:szCs w:val="16"/>
            <w:bdr w:val="none" w:sz="0" w:space="0" w:color="auto" w:frame="1"/>
          </w:rPr>
          <w:t>major pharmaceutical companies</w:t>
        </w:r>
      </w:hyperlink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 have begun to explore computer-based bio-simulation strategies to help generate the information necessary to make better decisions</w:t>
      </w:r>
      <w:r>
        <w:rPr>
          <w:rFonts w:asciiTheme="minorHAnsi" w:hAnsiTheme="minorHAnsi" w:cstheme="minorHAnsi"/>
          <w:b/>
          <w:color w:val="252525"/>
          <w:sz w:val="16"/>
          <w:szCs w:val="16"/>
        </w:rPr>
        <w:t>…</w:t>
      </w:r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 These strategies go by many different names – clinical trial simulation (CTS), modeling and simulation (M&amp;S), computer-assisted trial design (CATD), </w:t>
      </w:r>
      <w:r>
        <w:rPr>
          <w:rFonts w:asciiTheme="minorHAnsi" w:hAnsiTheme="minorHAnsi" w:cstheme="minorHAnsi"/>
          <w:b/>
          <w:color w:val="252525"/>
          <w:sz w:val="16"/>
          <w:szCs w:val="16"/>
        </w:rPr>
        <w:t>..</w:t>
      </w:r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. The </w:t>
      </w:r>
      <w:hyperlink r:id="rId4" w:tgtFrame="_blank" w:history="1">
        <w:r w:rsidRPr="00017A06">
          <w:rPr>
            <w:rStyle w:val="Hyperlink"/>
            <w:rFonts w:asciiTheme="minorHAnsi" w:hAnsiTheme="minorHAnsi" w:cstheme="minorHAnsi"/>
            <w:b/>
            <w:color w:val="135396"/>
            <w:sz w:val="16"/>
            <w:szCs w:val="16"/>
            <w:bdr w:val="none" w:sz="0" w:space="0" w:color="auto" w:frame="1"/>
          </w:rPr>
          <w:t>FDA</w:t>
        </w:r>
      </w:hyperlink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 and </w:t>
      </w:r>
      <w:hyperlink r:id="rId5" w:tgtFrame="_blank" w:history="1">
        <w:r w:rsidRPr="00017A06">
          <w:rPr>
            <w:rStyle w:val="Hyperlink"/>
            <w:rFonts w:asciiTheme="minorHAnsi" w:hAnsiTheme="minorHAnsi" w:cstheme="minorHAnsi"/>
            <w:b/>
            <w:color w:val="135396"/>
            <w:sz w:val="16"/>
            <w:szCs w:val="16"/>
            <w:bdr w:val="none" w:sz="0" w:space="0" w:color="auto" w:frame="1"/>
          </w:rPr>
          <w:t>EMA</w:t>
        </w:r>
      </w:hyperlink>
      <w:r w:rsidRPr="00017A06">
        <w:rPr>
          <w:rFonts w:asciiTheme="minorHAnsi" w:hAnsiTheme="minorHAnsi" w:cstheme="minorHAnsi"/>
          <w:b/>
          <w:color w:val="252525"/>
          <w:sz w:val="16"/>
          <w:szCs w:val="16"/>
        </w:rPr>
        <w:t xml:space="preserve"> regulatory agencies have also taken notice of M&amp;S strategies in an effort to support improved drug development efficiencies</w:t>
      </w:r>
      <w:r>
        <w:rPr>
          <w:rFonts w:asciiTheme="minorHAnsi" w:hAnsiTheme="minorHAnsi" w:cstheme="minorHAnsi"/>
          <w:b/>
          <w:color w:val="252525"/>
          <w:sz w:val="16"/>
          <w:szCs w:val="16"/>
        </w:rPr>
        <w:t>…”</w:t>
      </w:r>
    </w:p>
    <w:p w14:paraId="7F359077" w14:textId="77777777" w:rsidR="00C75C3F" w:rsidRDefault="00C75C3F" w:rsidP="00C75C3F">
      <w:pPr>
        <w:pStyle w:val="FootnoteText"/>
      </w:pPr>
    </w:p>
  </w:footnote>
  <w:footnote w:id="4">
    <w:p w14:paraId="6EF2C179" w14:textId="3DFC2396" w:rsidR="00252B3D" w:rsidRDefault="00252B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6585" w:rsidRPr="00623E66">
        <w:rPr>
          <w:b/>
          <w:sz w:val="16"/>
          <w:szCs w:val="16"/>
        </w:rPr>
        <w:t xml:space="preserve">Alvarez, J. “Introduction to Bayesian Adaptive Study Designs.” </w:t>
      </w:r>
      <w:r w:rsidR="00623E66" w:rsidRPr="00623E66">
        <w:rPr>
          <w:b/>
          <w:sz w:val="16"/>
          <w:szCs w:val="16"/>
        </w:rPr>
        <w:t>Biostatistics Department, Vanderbilt University of Medicine, November, 2011</w:t>
      </w:r>
      <w:r w:rsidR="00EE1900">
        <w:rPr>
          <w:b/>
          <w:sz w:val="16"/>
          <w:szCs w:val="16"/>
        </w:rPr>
        <w:t xml:space="preserve">: </w:t>
      </w:r>
      <w:r w:rsidR="00024432">
        <w:rPr>
          <w:b/>
          <w:sz w:val="16"/>
          <w:szCs w:val="16"/>
        </w:rPr>
        <w:t xml:space="preserve">“Challenges of adaptive designs: </w:t>
      </w:r>
      <w:r w:rsidR="00EE1900">
        <w:rPr>
          <w:b/>
          <w:sz w:val="16"/>
          <w:szCs w:val="16"/>
        </w:rPr>
        <w:t>R</w:t>
      </w:r>
      <w:r w:rsidR="00EE1900" w:rsidRPr="00EE1900">
        <w:rPr>
          <w:b/>
          <w:sz w:val="16"/>
          <w:szCs w:val="16"/>
        </w:rPr>
        <w:t xml:space="preserve">equire specialized statistical expertise and large time </w:t>
      </w:r>
      <w:r w:rsidR="00EE1900" w:rsidRPr="00EE1900">
        <w:rPr>
          <w:b/>
          <w:sz w:val="16"/>
          <w:szCs w:val="16"/>
        </w:rPr>
        <w:t>investment</w:t>
      </w:r>
      <w:r w:rsidR="00024432">
        <w:rPr>
          <w:b/>
          <w:sz w:val="16"/>
          <w:szCs w:val="16"/>
        </w:rPr>
        <w:t>..</w:t>
      </w:r>
      <w:bookmarkStart w:id="0" w:name="_GoBack"/>
      <w:bookmarkEnd w:id="0"/>
      <w:r w:rsidR="00EE1900">
        <w:rPr>
          <w:b/>
          <w:sz w:val="16"/>
          <w:szCs w:val="16"/>
        </w:rP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2E2D" w14:textId="77777777" w:rsidR="00CB55BC" w:rsidRDefault="00CB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9942" w14:textId="77777777" w:rsidR="00CB55BC" w:rsidRDefault="00CB5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E34B" w14:textId="77777777" w:rsidR="00CB55BC" w:rsidRDefault="00CB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657B"/>
    <w:multiLevelType w:val="hybridMultilevel"/>
    <w:tmpl w:val="38E8B028"/>
    <w:lvl w:ilvl="0" w:tplc="DD967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38CF"/>
    <w:multiLevelType w:val="hybridMultilevel"/>
    <w:tmpl w:val="46768BE2"/>
    <w:lvl w:ilvl="0" w:tplc="252C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E5C55"/>
    <w:multiLevelType w:val="hybridMultilevel"/>
    <w:tmpl w:val="9C3AFFB8"/>
    <w:lvl w:ilvl="0" w:tplc="565A3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1D"/>
    <w:rsid w:val="000054AE"/>
    <w:rsid w:val="00013E43"/>
    <w:rsid w:val="0001487A"/>
    <w:rsid w:val="00015311"/>
    <w:rsid w:val="00017A06"/>
    <w:rsid w:val="00020F05"/>
    <w:rsid w:val="00024432"/>
    <w:rsid w:val="000336A4"/>
    <w:rsid w:val="00035075"/>
    <w:rsid w:val="0003555F"/>
    <w:rsid w:val="000367D6"/>
    <w:rsid w:val="00043E46"/>
    <w:rsid w:val="000547C7"/>
    <w:rsid w:val="000571F5"/>
    <w:rsid w:val="00065D0B"/>
    <w:rsid w:val="00071DD6"/>
    <w:rsid w:val="000767FB"/>
    <w:rsid w:val="00082C2D"/>
    <w:rsid w:val="00087979"/>
    <w:rsid w:val="00090BBB"/>
    <w:rsid w:val="000A4845"/>
    <w:rsid w:val="000B2AFF"/>
    <w:rsid w:val="000B3A39"/>
    <w:rsid w:val="000C54F2"/>
    <w:rsid w:val="000C7D61"/>
    <w:rsid w:val="000D3943"/>
    <w:rsid w:val="000E0594"/>
    <w:rsid w:val="000F0BD7"/>
    <w:rsid w:val="000F6073"/>
    <w:rsid w:val="00116D14"/>
    <w:rsid w:val="00123724"/>
    <w:rsid w:val="00124895"/>
    <w:rsid w:val="00126013"/>
    <w:rsid w:val="00131B50"/>
    <w:rsid w:val="00134B11"/>
    <w:rsid w:val="00135632"/>
    <w:rsid w:val="00162413"/>
    <w:rsid w:val="001668A2"/>
    <w:rsid w:val="00166B02"/>
    <w:rsid w:val="00171D02"/>
    <w:rsid w:val="001755B0"/>
    <w:rsid w:val="00185A02"/>
    <w:rsid w:val="00195B96"/>
    <w:rsid w:val="00196CB1"/>
    <w:rsid w:val="00196D96"/>
    <w:rsid w:val="001A0679"/>
    <w:rsid w:val="001A2305"/>
    <w:rsid w:val="001A48F4"/>
    <w:rsid w:val="001B081D"/>
    <w:rsid w:val="001D5E24"/>
    <w:rsid w:val="001D61C6"/>
    <w:rsid w:val="001D64FC"/>
    <w:rsid w:val="001E6EF0"/>
    <w:rsid w:val="001E7AC0"/>
    <w:rsid w:val="001F6ECA"/>
    <w:rsid w:val="00201862"/>
    <w:rsid w:val="0020270D"/>
    <w:rsid w:val="00211CD4"/>
    <w:rsid w:val="002127EA"/>
    <w:rsid w:val="0022085C"/>
    <w:rsid w:val="002249C8"/>
    <w:rsid w:val="002302ED"/>
    <w:rsid w:val="00230DD7"/>
    <w:rsid w:val="00231460"/>
    <w:rsid w:val="00234FC9"/>
    <w:rsid w:val="002351A0"/>
    <w:rsid w:val="002477A4"/>
    <w:rsid w:val="002507A7"/>
    <w:rsid w:val="00250FFC"/>
    <w:rsid w:val="00252B3D"/>
    <w:rsid w:val="0026408D"/>
    <w:rsid w:val="00267545"/>
    <w:rsid w:val="00273BD2"/>
    <w:rsid w:val="002769EB"/>
    <w:rsid w:val="002973EF"/>
    <w:rsid w:val="002A2197"/>
    <w:rsid w:val="002A6670"/>
    <w:rsid w:val="002C15C1"/>
    <w:rsid w:val="002C2B2F"/>
    <w:rsid w:val="002C6BBD"/>
    <w:rsid w:val="002E42AC"/>
    <w:rsid w:val="002F0268"/>
    <w:rsid w:val="002F0369"/>
    <w:rsid w:val="002F333A"/>
    <w:rsid w:val="002F3976"/>
    <w:rsid w:val="002F4B30"/>
    <w:rsid w:val="00301777"/>
    <w:rsid w:val="00303182"/>
    <w:rsid w:val="003172D0"/>
    <w:rsid w:val="003214A7"/>
    <w:rsid w:val="003261DD"/>
    <w:rsid w:val="00327613"/>
    <w:rsid w:val="00332221"/>
    <w:rsid w:val="003436D0"/>
    <w:rsid w:val="003473F0"/>
    <w:rsid w:val="0036071E"/>
    <w:rsid w:val="00363780"/>
    <w:rsid w:val="0036511A"/>
    <w:rsid w:val="00371698"/>
    <w:rsid w:val="00385422"/>
    <w:rsid w:val="003954C3"/>
    <w:rsid w:val="003971DF"/>
    <w:rsid w:val="003A166D"/>
    <w:rsid w:val="003A3ADE"/>
    <w:rsid w:val="003B7571"/>
    <w:rsid w:val="003C45FF"/>
    <w:rsid w:val="003D1309"/>
    <w:rsid w:val="003D1648"/>
    <w:rsid w:val="003D20F5"/>
    <w:rsid w:val="00400C36"/>
    <w:rsid w:val="00404CAC"/>
    <w:rsid w:val="00406270"/>
    <w:rsid w:val="004124FB"/>
    <w:rsid w:val="00422E56"/>
    <w:rsid w:val="0042667B"/>
    <w:rsid w:val="004268F3"/>
    <w:rsid w:val="00427186"/>
    <w:rsid w:val="00432B31"/>
    <w:rsid w:val="00434777"/>
    <w:rsid w:val="00451183"/>
    <w:rsid w:val="00454508"/>
    <w:rsid w:val="00454A4C"/>
    <w:rsid w:val="004576B8"/>
    <w:rsid w:val="004677B8"/>
    <w:rsid w:val="00467EC1"/>
    <w:rsid w:val="00472D46"/>
    <w:rsid w:val="00484E85"/>
    <w:rsid w:val="0049788B"/>
    <w:rsid w:val="004A420F"/>
    <w:rsid w:val="004A42E2"/>
    <w:rsid w:val="004A44A4"/>
    <w:rsid w:val="004A4E6A"/>
    <w:rsid w:val="004A6EDB"/>
    <w:rsid w:val="004B4453"/>
    <w:rsid w:val="004B5641"/>
    <w:rsid w:val="004C1604"/>
    <w:rsid w:val="004C7620"/>
    <w:rsid w:val="004D0CD2"/>
    <w:rsid w:val="004D1F09"/>
    <w:rsid w:val="004D4D4F"/>
    <w:rsid w:val="004D61E3"/>
    <w:rsid w:val="004E06B1"/>
    <w:rsid w:val="004F3A97"/>
    <w:rsid w:val="004F40BF"/>
    <w:rsid w:val="004F485D"/>
    <w:rsid w:val="00506585"/>
    <w:rsid w:val="0050745F"/>
    <w:rsid w:val="005278DB"/>
    <w:rsid w:val="00530589"/>
    <w:rsid w:val="00530F04"/>
    <w:rsid w:val="005315EC"/>
    <w:rsid w:val="00537F3D"/>
    <w:rsid w:val="005446FB"/>
    <w:rsid w:val="00551D91"/>
    <w:rsid w:val="00552919"/>
    <w:rsid w:val="00554659"/>
    <w:rsid w:val="0055510B"/>
    <w:rsid w:val="005633B9"/>
    <w:rsid w:val="00563E50"/>
    <w:rsid w:val="005805AB"/>
    <w:rsid w:val="00586836"/>
    <w:rsid w:val="005935C6"/>
    <w:rsid w:val="0059577B"/>
    <w:rsid w:val="005A2497"/>
    <w:rsid w:val="005B0BA1"/>
    <w:rsid w:val="005B24E6"/>
    <w:rsid w:val="005B6271"/>
    <w:rsid w:val="005C3A57"/>
    <w:rsid w:val="005E5BD9"/>
    <w:rsid w:val="005F7053"/>
    <w:rsid w:val="006030CA"/>
    <w:rsid w:val="00603FA3"/>
    <w:rsid w:val="00604EC6"/>
    <w:rsid w:val="00610788"/>
    <w:rsid w:val="0061230A"/>
    <w:rsid w:val="006132C2"/>
    <w:rsid w:val="006200C3"/>
    <w:rsid w:val="00623E66"/>
    <w:rsid w:val="00625805"/>
    <w:rsid w:val="0062640C"/>
    <w:rsid w:val="006357D0"/>
    <w:rsid w:val="00637005"/>
    <w:rsid w:val="0064133F"/>
    <w:rsid w:val="00642C91"/>
    <w:rsid w:val="006502BC"/>
    <w:rsid w:val="006504EA"/>
    <w:rsid w:val="006657EB"/>
    <w:rsid w:val="00671B15"/>
    <w:rsid w:val="006755CA"/>
    <w:rsid w:val="00676610"/>
    <w:rsid w:val="00677702"/>
    <w:rsid w:val="00680461"/>
    <w:rsid w:val="006906E5"/>
    <w:rsid w:val="0069232B"/>
    <w:rsid w:val="00696A54"/>
    <w:rsid w:val="00696EF0"/>
    <w:rsid w:val="006A1158"/>
    <w:rsid w:val="006A29C2"/>
    <w:rsid w:val="006B0546"/>
    <w:rsid w:val="006D0809"/>
    <w:rsid w:val="006D1099"/>
    <w:rsid w:val="006E1508"/>
    <w:rsid w:val="006E6393"/>
    <w:rsid w:val="006F3C36"/>
    <w:rsid w:val="00700BE3"/>
    <w:rsid w:val="007011F6"/>
    <w:rsid w:val="007123B7"/>
    <w:rsid w:val="00720D99"/>
    <w:rsid w:val="00725C8E"/>
    <w:rsid w:val="00731CF2"/>
    <w:rsid w:val="007431F4"/>
    <w:rsid w:val="00744FA8"/>
    <w:rsid w:val="00746506"/>
    <w:rsid w:val="007505E3"/>
    <w:rsid w:val="00756323"/>
    <w:rsid w:val="0076244E"/>
    <w:rsid w:val="00765A70"/>
    <w:rsid w:val="007706AB"/>
    <w:rsid w:val="00781FDF"/>
    <w:rsid w:val="00784894"/>
    <w:rsid w:val="00785ABF"/>
    <w:rsid w:val="007A192B"/>
    <w:rsid w:val="007A6D05"/>
    <w:rsid w:val="007B2ADA"/>
    <w:rsid w:val="007B460A"/>
    <w:rsid w:val="007B6359"/>
    <w:rsid w:val="007C6C56"/>
    <w:rsid w:val="007D5499"/>
    <w:rsid w:val="007E2F2C"/>
    <w:rsid w:val="007E3465"/>
    <w:rsid w:val="007E5B46"/>
    <w:rsid w:val="007F13FA"/>
    <w:rsid w:val="007F2198"/>
    <w:rsid w:val="007F294F"/>
    <w:rsid w:val="007F5B3F"/>
    <w:rsid w:val="007F7D85"/>
    <w:rsid w:val="0080297F"/>
    <w:rsid w:val="00802B5C"/>
    <w:rsid w:val="00811564"/>
    <w:rsid w:val="008233D0"/>
    <w:rsid w:val="008245AD"/>
    <w:rsid w:val="00827560"/>
    <w:rsid w:val="008276A3"/>
    <w:rsid w:val="008452DB"/>
    <w:rsid w:val="00846870"/>
    <w:rsid w:val="00872171"/>
    <w:rsid w:val="008728BC"/>
    <w:rsid w:val="0087528C"/>
    <w:rsid w:val="00880DF3"/>
    <w:rsid w:val="00890FBD"/>
    <w:rsid w:val="00897BE7"/>
    <w:rsid w:val="008C1C01"/>
    <w:rsid w:val="008C335E"/>
    <w:rsid w:val="008C4C7A"/>
    <w:rsid w:val="008D20B8"/>
    <w:rsid w:val="008D221F"/>
    <w:rsid w:val="008D27B0"/>
    <w:rsid w:val="008D3947"/>
    <w:rsid w:val="008E29CF"/>
    <w:rsid w:val="008E2BA8"/>
    <w:rsid w:val="008E55E5"/>
    <w:rsid w:val="008F1982"/>
    <w:rsid w:val="008F5896"/>
    <w:rsid w:val="00903417"/>
    <w:rsid w:val="00911568"/>
    <w:rsid w:val="00915527"/>
    <w:rsid w:val="009201A9"/>
    <w:rsid w:val="00932D34"/>
    <w:rsid w:val="00935B67"/>
    <w:rsid w:val="00946F36"/>
    <w:rsid w:val="00947FD8"/>
    <w:rsid w:val="009515D9"/>
    <w:rsid w:val="00954453"/>
    <w:rsid w:val="0096226C"/>
    <w:rsid w:val="00962904"/>
    <w:rsid w:val="00963121"/>
    <w:rsid w:val="0096400D"/>
    <w:rsid w:val="00975773"/>
    <w:rsid w:val="00991903"/>
    <w:rsid w:val="009A1084"/>
    <w:rsid w:val="009A334B"/>
    <w:rsid w:val="009A33E6"/>
    <w:rsid w:val="009A5A83"/>
    <w:rsid w:val="009B4D30"/>
    <w:rsid w:val="009B503F"/>
    <w:rsid w:val="009D79A5"/>
    <w:rsid w:val="009F13B8"/>
    <w:rsid w:val="00A0113A"/>
    <w:rsid w:val="00A04428"/>
    <w:rsid w:val="00A12191"/>
    <w:rsid w:val="00A1763D"/>
    <w:rsid w:val="00A17F66"/>
    <w:rsid w:val="00A341F2"/>
    <w:rsid w:val="00A34AE3"/>
    <w:rsid w:val="00A37997"/>
    <w:rsid w:val="00A4270C"/>
    <w:rsid w:val="00A44EE3"/>
    <w:rsid w:val="00A50CAD"/>
    <w:rsid w:val="00A5587B"/>
    <w:rsid w:val="00A602BA"/>
    <w:rsid w:val="00A64544"/>
    <w:rsid w:val="00A664FF"/>
    <w:rsid w:val="00A666E3"/>
    <w:rsid w:val="00A852BD"/>
    <w:rsid w:val="00A94351"/>
    <w:rsid w:val="00A97E76"/>
    <w:rsid w:val="00AC264F"/>
    <w:rsid w:val="00AC3AE0"/>
    <w:rsid w:val="00AC4B2D"/>
    <w:rsid w:val="00AD3F8D"/>
    <w:rsid w:val="00AD738F"/>
    <w:rsid w:val="00AE3519"/>
    <w:rsid w:val="00AF5D97"/>
    <w:rsid w:val="00AF66AB"/>
    <w:rsid w:val="00B03873"/>
    <w:rsid w:val="00B06647"/>
    <w:rsid w:val="00B12281"/>
    <w:rsid w:val="00B13CC7"/>
    <w:rsid w:val="00B2728E"/>
    <w:rsid w:val="00B301B2"/>
    <w:rsid w:val="00B32B22"/>
    <w:rsid w:val="00B40A7B"/>
    <w:rsid w:val="00B43519"/>
    <w:rsid w:val="00B52D8F"/>
    <w:rsid w:val="00B7764E"/>
    <w:rsid w:val="00B77E6F"/>
    <w:rsid w:val="00B9080F"/>
    <w:rsid w:val="00B952B3"/>
    <w:rsid w:val="00BB5B59"/>
    <w:rsid w:val="00BC41E3"/>
    <w:rsid w:val="00BD15C1"/>
    <w:rsid w:val="00BD7B5B"/>
    <w:rsid w:val="00BF4462"/>
    <w:rsid w:val="00C02585"/>
    <w:rsid w:val="00C1670A"/>
    <w:rsid w:val="00C20FD6"/>
    <w:rsid w:val="00C3222A"/>
    <w:rsid w:val="00C3261C"/>
    <w:rsid w:val="00C33476"/>
    <w:rsid w:val="00C36666"/>
    <w:rsid w:val="00C41E41"/>
    <w:rsid w:val="00C43AF0"/>
    <w:rsid w:val="00C45FDC"/>
    <w:rsid w:val="00C47737"/>
    <w:rsid w:val="00C53A26"/>
    <w:rsid w:val="00C55EB9"/>
    <w:rsid w:val="00C56635"/>
    <w:rsid w:val="00C67CA1"/>
    <w:rsid w:val="00C74ECD"/>
    <w:rsid w:val="00C75C3F"/>
    <w:rsid w:val="00CA6D24"/>
    <w:rsid w:val="00CB1E82"/>
    <w:rsid w:val="00CB27A3"/>
    <w:rsid w:val="00CB55BC"/>
    <w:rsid w:val="00CB5ADA"/>
    <w:rsid w:val="00CD2A53"/>
    <w:rsid w:val="00CD4554"/>
    <w:rsid w:val="00CD502A"/>
    <w:rsid w:val="00CD6D23"/>
    <w:rsid w:val="00CE6FF2"/>
    <w:rsid w:val="00CF28ED"/>
    <w:rsid w:val="00CF5483"/>
    <w:rsid w:val="00D03847"/>
    <w:rsid w:val="00D05629"/>
    <w:rsid w:val="00D070AC"/>
    <w:rsid w:val="00D07BF6"/>
    <w:rsid w:val="00D14019"/>
    <w:rsid w:val="00D1488F"/>
    <w:rsid w:val="00D20C1D"/>
    <w:rsid w:val="00D24B6A"/>
    <w:rsid w:val="00D308DB"/>
    <w:rsid w:val="00D31418"/>
    <w:rsid w:val="00D342C3"/>
    <w:rsid w:val="00D3490B"/>
    <w:rsid w:val="00D44A38"/>
    <w:rsid w:val="00D71D4A"/>
    <w:rsid w:val="00D77442"/>
    <w:rsid w:val="00D81CAE"/>
    <w:rsid w:val="00D827A6"/>
    <w:rsid w:val="00D82A3E"/>
    <w:rsid w:val="00D979FA"/>
    <w:rsid w:val="00D97BA4"/>
    <w:rsid w:val="00DA7881"/>
    <w:rsid w:val="00DB08EF"/>
    <w:rsid w:val="00DB4FA5"/>
    <w:rsid w:val="00DB5C9B"/>
    <w:rsid w:val="00DB5DA9"/>
    <w:rsid w:val="00DC628D"/>
    <w:rsid w:val="00DC6438"/>
    <w:rsid w:val="00DF1552"/>
    <w:rsid w:val="00DF3A8F"/>
    <w:rsid w:val="00E05AB0"/>
    <w:rsid w:val="00E228AA"/>
    <w:rsid w:val="00E42C88"/>
    <w:rsid w:val="00E4756E"/>
    <w:rsid w:val="00E4792C"/>
    <w:rsid w:val="00E51C85"/>
    <w:rsid w:val="00E56301"/>
    <w:rsid w:val="00E90714"/>
    <w:rsid w:val="00E92385"/>
    <w:rsid w:val="00EA15BA"/>
    <w:rsid w:val="00EC1FAC"/>
    <w:rsid w:val="00EC60AA"/>
    <w:rsid w:val="00EC62E5"/>
    <w:rsid w:val="00ED06EB"/>
    <w:rsid w:val="00ED4F44"/>
    <w:rsid w:val="00ED5FEE"/>
    <w:rsid w:val="00EE1900"/>
    <w:rsid w:val="00EE4835"/>
    <w:rsid w:val="00F05EA7"/>
    <w:rsid w:val="00F10345"/>
    <w:rsid w:val="00F127A4"/>
    <w:rsid w:val="00F14485"/>
    <w:rsid w:val="00F14D50"/>
    <w:rsid w:val="00F1681E"/>
    <w:rsid w:val="00F25173"/>
    <w:rsid w:val="00F258AC"/>
    <w:rsid w:val="00F36293"/>
    <w:rsid w:val="00F37549"/>
    <w:rsid w:val="00F44FF8"/>
    <w:rsid w:val="00F554FD"/>
    <w:rsid w:val="00F56310"/>
    <w:rsid w:val="00F6013E"/>
    <w:rsid w:val="00F63CD8"/>
    <w:rsid w:val="00F679B9"/>
    <w:rsid w:val="00F705A4"/>
    <w:rsid w:val="00F74D56"/>
    <w:rsid w:val="00F76F3E"/>
    <w:rsid w:val="00F77768"/>
    <w:rsid w:val="00F909BA"/>
    <w:rsid w:val="00F94F33"/>
    <w:rsid w:val="00F96184"/>
    <w:rsid w:val="00FA01E9"/>
    <w:rsid w:val="00FA75EC"/>
    <w:rsid w:val="00FB2397"/>
    <w:rsid w:val="00FB239C"/>
    <w:rsid w:val="00FB51CE"/>
    <w:rsid w:val="00FB7389"/>
    <w:rsid w:val="00FC33E2"/>
    <w:rsid w:val="00FC45F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6AEB"/>
  <w15:chartTrackingRefBased/>
  <w15:docId w15:val="{D518902B-3A88-42E0-841A-E0E61DA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7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706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6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6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6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B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BC"/>
  </w:style>
  <w:style w:type="paragraph" w:styleId="Footer">
    <w:name w:val="footer"/>
    <w:basedOn w:val="Normal"/>
    <w:link w:val="FooterChar"/>
    <w:uiPriority w:val="99"/>
    <w:unhideWhenUsed/>
    <w:rsid w:val="00CB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5BC"/>
  </w:style>
  <w:style w:type="character" w:styleId="UnresolvedMention">
    <w:name w:val="Unresolved Mention"/>
    <w:basedOn w:val="DefaultParagraphFont"/>
    <w:uiPriority w:val="99"/>
    <w:semiHidden/>
    <w:unhideWhenUsed/>
    <w:rsid w:val="001E6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6EF0"/>
    <w:rPr>
      <w:color w:val="954F72" w:themeColor="followedHyperlink"/>
      <w:u w:val="single"/>
    </w:rPr>
  </w:style>
  <w:style w:type="paragraph" w:customStyle="1" w:styleId="CM4">
    <w:name w:val="CM4"/>
    <w:basedOn w:val="Normal"/>
    <w:next w:val="Normal"/>
    <w:uiPriority w:val="99"/>
    <w:rsid w:val="00897BE7"/>
    <w:pPr>
      <w:autoSpaceDE w:val="0"/>
      <w:autoSpaceDN w:val="0"/>
      <w:adjustRightInd w:val="0"/>
      <w:spacing w:after="0" w:line="278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17">
    <w:name w:val="CM17"/>
    <w:basedOn w:val="Normal"/>
    <w:next w:val="Normal"/>
    <w:uiPriority w:val="99"/>
    <w:rsid w:val="00897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7A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bdrf.org/research/clinical-trial-considerat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bdrf.org/research/clinical-trial-consider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bdrf.org/research/clinical-trial-considera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bdrf.org/research/what-were-working-o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harma.bayer.com/en/innovation-partnering/technologies-and-trends/research-technologies/virtual-drug-tests/" TargetMode="External"/><Relationship Id="rId2" Type="http://schemas.openxmlformats.org/officeDocument/2006/relationships/hyperlink" Target="https://apbdrf.org/research/clinical-trial-considerations" TargetMode="External"/><Relationship Id="rId1" Type="http://schemas.openxmlformats.org/officeDocument/2006/relationships/hyperlink" Target="https://apbdrf.org/research/what-were-working-on" TargetMode="External"/><Relationship Id="rId5" Type="http://schemas.openxmlformats.org/officeDocument/2006/relationships/hyperlink" Target="https://www.ncbi.nlm.nih.gov/pubmed/23835942" TargetMode="External"/><Relationship Id="rId4" Type="http://schemas.openxmlformats.org/officeDocument/2006/relationships/hyperlink" Target="https://www.federalregister.gov/documents/2016/03/07/2016-04965/mechanistic-oral-absorption-modeling-and-simulation-for-formulation-development-and-bioequiva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682C-E367-4DEA-AC0C-D4F6900E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13</cp:revision>
  <dcterms:created xsi:type="dcterms:W3CDTF">2018-06-29T21:42:00Z</dcterms:created>
  <dcterms:modified xsi:type="dcterms:W3CDTF">2018-07-01T10:14:00Z</dcterms:modified>
</cp:coreProperties>
</file>