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240" w:lineRule="auto"/>
        <w:contextualSpacing/>
        <w:rPr>
          <w:rFonts w:hint="default"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32"/>
          <w:szCs w:val="32"/>
          <w:lang w:val="en-US"/>
        </w:rPr>
        <w:t>f you were going to remodel a bathroom to better accommodate your APBD symptoms, what are the top things you</w:t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>’d try to incorporate?</w:t>
      </w:r>
    </w:p>
    <w:p>
      <w:pPr>
        <w:pStyle w:val="4"/>
        <w:numPr>
          <w:ilvl w:val="0"/>
          <w:numId w:val="0"/>
        </w:numPr>
        <w:spacing w:line="240" w:lineRule="auto"/>
        <w:contextualSpacing/>
        <w:rPr>
          <w:rFonts w:hint="default" w:ascii="Arial" w:hAnsi="Arial" w:cs="Arial"/>
          <w:b/>
          <w:bCs/>
          <w:sz w:val="32"/>
          <w:szCs w:val="32"/>
          <w:lang w:val="en-US"/>
        </w:rPr>
      </w:pPr>
    </w:p>
    <w:p>
      <w:pPr>
        <w:pStyle w:val="4"/>
        <w:numPr>
          <w:ilvl w:val="0"/>
          <w:numId w:val="0"/>
        </w:numPr>
        <w:spacing w:line="240" w:lineRule="auto"/>
        <w:contextualSpacing/>
        <w:rPr>
          <w:rFonts w:hint="default"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Wider door to the room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Walk-in (“curbless”) shower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Wide door to shower so wheelchair can pull up and you can transfer into shower chair. Maybe even 2 doors that open as you see with French doors.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Safety bars in shower secured into the walls. (A god-send!)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Shower chair or bench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Hand-held shower plus a stationary one in the wall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All faucets and soap dishes in the shower should be able to be reached while sitting on the shower bench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Low sink, at 32 inches, to accommodate wheelchair user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Grab handles at commode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“Drive” brand toilet seat that’s elevated and has handles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Sink faucet that is activated by the wave of your hand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Secure rugs from sliding or causing trips by using carpet tape, duct tape, adhesive putty, rubberized backings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Extension grabbers for picking things up from the floor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The legal stuff: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"The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chat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room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exists as a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 source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of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general information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only.  The contents discussed do not represent therapeutic recommendations or prescriptions.  Users of the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chat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room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are advised to consult their personal physicians for specific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 information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or advice."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8CBE"/>
    <w:multiLevelType w:val="singleLevel"/>
    <w:tmpl w:val="59798CBE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175F0"/>
    <w:rsid w:val="31E02025"/>
    <w:rsid w:val="61C175F0"/>
    <w:rsid w:val="71297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2017-07-30T02:40:00Z</dcterms:created>
  <dc:creator>chuck</dc:creator>
  <cp:lastModifiedBy>chuck</cp:lastModifiedBy>
  <dcterms:modified xsi:type="dcterms:W3CDTF">2017-07-30T06:08:30Z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