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15" w:rsidRPr="00BD6E85" w:rsidRDefault="000C14FE">
      <w:pPr>
        <w:rPr>
          <w:rFonts w:ascii="Trebuchet MS" w:hAnsi="Trebuchet MS" w:cs="Arial"/>
          <w:b/>
          <w:i/>
          <w:sz w:val="24"/>
          <w:szCs w:val="24"/>
        </w:rPr>
      </w:pPr>
      <w:r>
        <w:rPr>
          <w:rFonts w:ascii="Trebuchet MS" w:hAnsi="Trebuchet MS" w:cs="Arial"/>
          <w:b/>
          <w:i/>
          <w:sz w:val="24"/>
          <w:szCs w:val="24"/>
        </w:rPr>
        <w:t>The 21</w:t>
      </w:r>
      <w:r w:rsidRPr="000C14FE">
        <w:rPr>
          <w:rFonts w:ascii="Trebuchet MS" w:hAnsi="Trebuchet MS" w:cs="Arial"/>
          <w:b/>
          <w:i/>
          <w:sz w:val="24"/>
          <w:szCs w:val="24"/>
          <w:vertAlign w:val="superscript"/>
        </w:rPr>
        <w:t>st</w:t>
      </w:r>
      <w:r>
        <w:rPr>
          <w:rFonts w:ascii="Trebuchet MS" w:hAnsi="Trebuchet MS" w:cs="Arial"/>
          <w:b/>
          <w:i/>
          <w:sz w:val="24"/>
          <w:szCs w:val="24"/>
        </w:rPr>
        <w:t xml:space="preserve"> Century Cures Act </w:t>
      </w:r>
      <w:r w:rsidR="00D47FBD">
        <w:rPr>
          <w:rFonts w:ascii="Trebuchet MS" w:hAnsi="Trebuchet MS" w:cs="Arial"/>
          <w:b/>
          <w:i/>
          <w:sz w:val="24"/>
          <w:szCs w:val="24"/>
        </w:rPr>
        <w:t>and</w:t>
      </w:r>
      <w:r w:rsidR="005B6645" w:rsidRPr="00BD6E85">
        <w:rPr>
          <w:rFonts w:ascii="Trebuchet MS" w:hAnsi="Trebuchet MS" w:cs="Arial"/>
          <w:b/>
          <w:i/>
          <w:sz w:val="24"/>
          <w:szCs w:val="24"/>
        </w:rPr>
        <w:t xml:space="preserve"> Approving New </w:t>
      </w:r>
      <w:r w:rsidR="00EB2D9C">
        <w:rPr>
          <w:rFonts w:ascii="Trebuchet MS" w:hAnsi="Trebuchet MS" w:cs="Arial"/>
          <w:b/>
          <w:i/>
          <w:sz w:val="24"/>
          <w:szCs w:val="24"/>
        </w:rPr>
        <w:t>D</w:t>
      </w:r>
      <w:r w:rsidR="005B6645" w:rsidRPr="00BD6E85">
        <w:rPr>
          <w:rFonts w:ascii="Trebuchet MS" w:hAnsi="Trebuchet MS" w:cs="Arial"/>
          <w:b/>
          <w:i/>
          <w:sz w:val="24"/>
          <w:szCs w:val="24"/>
        </w:rPr>
        <w:t>rugs</w:t>
      </w:r>
      <w:r w:rsidR="00EB2D9C">
        <w:rPr>
          <w:rFonts w:ascii="Trebuchet MS" w:hAnsi="Trebuchet MS" w:cs="Arial"/>
          <w:b/>
          <w:i/>
          <w:sz w:val="24"/>
          <w:szCs w:val="24"/>
        </w:rPr>
        <w:t>,</w:t>
      </w:r>
      <w:r w:rsidR="00FC6783">
        <w:rPr>
          <w:rFonts w:ascii="Trebuchet MS" w:hAnsi="Trebuchet MS" w:cs="Arial"/>
          <w:b/>
          <w:i/>
          <w:sz w:val="24"/>
          <w:szCs w:val="24"/>
        </w:rPr>
        <w:t xml:space="preserve"> 15 </w:t>
      </w:r>
      <w:r w:rsidR="00D47FBD">
        <w:rPr>
          <w:rFonts w:ascii="Trebuchet MS" w:hAnsi="Trebuchet MS" w:cs="Arial"/>
          <w:b/>
          <w:i/>
          <w:sz w:val="24"/>
          <w:szCs w:val="24"/>
        </w:rPr>
        <w:t>March</w:t>
      </w:r>
      <w:r w:rsidR="00FC6783">
        <w:rPr>
          <w:rFonts w:ascii="Trebuchet MS" w:hAnsi="Trebuchet MS" w:cs="Arial"/>
          <w:b/>
          <w:i/>
          <w:sz w:val="24"/>
          <w:szCs w:val="24"/>
        </w:rPr>
        <w:t xml:space="preserve"> 2017 </w:t>
      </w:r>
      <w:r w:rsidR="0053128A" w:rsidRPr="00BD6E85">
        <w:rPr>
          <w:rFonts w:ascii="Trebuchet MS" w:hAnsi="Trebuchet MS" w:cs="Arial"/>
          <w:b/>
          <w:i/>
          <w:sz w:val="24"/>
          <w:szCs w:val="24"/>
        </w:rPr>
        <w:t xml:space="preserve"> </w:t>
      </w:r>
    </w:p>
    <w:p w:rsidR="00171AF6" w:rsidRPr="00BD6E85" w:rsidRDefault="00171AF6" w:rsidP="00171AF6">
      <w:pPr>
        <w:pStyle w:val="NormalWeb"/>
        <w:rPr>
          <w:rFonts w:ascii="Trebuchet MS" w:hAnsi="Trebuchet MS" w:cs="Arial"/>
          <w:b/>
          <w:sz w:val="22"/>
          <w:szCs w:val="22"/>
        </w:rPr>
      </w:pPr>
      <w:r w:rsidRPr="00BD6E85">
        <w:rPr>
          <w:rFonts w:ascii="Trebuchet MS" w:hAnsi="Trebuchet MS" w:cs="Arial"/>
          <w:b/>
          <w:sz w:val="22"/>
          <w:szCs w:val="22"/>
        </w:rPr>
        <w:t xml:space="preserve">What changes does the 21st Century Cures Act suggest for clinical trials? </w:t>
      </w:r>
    </w:p>
    <w:p w:rsidR="00171AF6" w:rsidRPr="001855BB" w:rsidRDefault="00171AF6" w:rsidP="00171AF6">
      <w:pPr>
        <w:pStyle w:val="para"/>
        <w:spacing w:after="240" w:line="276" w:lineRule="auto"/>
        <w:rPr>
          <w:rFonts w:ascii="Trebuchet MS" w:hAnsi="Trebuchet MS" w:cs="Arial"/>
          <w:color w:val="333333"/>
          <w:sz w:val="22"/>
          <w:szCs w:val="22"/>
        </w:rPr>
      </w:pPr>
      <w:r w:rsidRPr="001855BB">
        <w:rPr>
          <w:rFonts w:ascii="Trebuchet MS" w:hAnsi="Trebuchet MS" w:cs="Arial"/>
          <w:color w:val="333333"/>
          <w:sz w:val="22"/>
          <w:szCs w:val="22"/>
        </w:rPr>
        <w:t>The 21</w:t>
      </w:r>
      <w:r w:rsidRPr="001855BB">
        <w:rPr>
          <w:rFonts w:ascii="Trebuchet MS" w:hAnsi="Trebuchet MS" w:cs="Arial"/>
          <w:color w:val="333333"/>
          <w:sz w:val="22"/>
          <w:szCs w:val="22"/>
          <w:vertAlign w:val="superscript"/>
        </w:rPr>
        <w:t>st</w:t>
      </w:r>
      <w:r w:rsidRPr="001855BB">
        <w:rPr>
          <w:rFonts w:ascii="Trebuchet MS" w:hAnsi="Trebuchet MS" w:cs="Arial"/>
          <w:color w:val="333333"/>
          <w:sz w:val="22"/>
          <w:szCs w:val="22"/>
        </w:rPr>
        <w:t xml:space="preserve"> Century Cures Act was passed in December 2016.  Among other things, it directs the Secretary of Health and Human Services to develop tools to speed-up the approval of new drugs and devices.  </w:t>
      </w:r>
      <w:r w:rsidR="00843214">
        <w:rPr>
          <w:rFonts w:ascii="Trebuchet MS" w:hAnsi="Trebuchet MS" w:cs="Arial"/>
          <w:color w:val="333333"/>
          <w:sz w:val="22"/>
          <w:szCs w:val="22"/>
        </w:rPr>
        <w:t xml:space="preserve">But new regulations are not out as yet; </w:t>
      </w:r>
      <w:r w:rsidR="00227146">
        <w:rPr>
          <w:rFonts w:ascii="Trebuchet MS" w:hAnsi="Trebuchet MS" w:cs="Arial"/>
          <w:color w:val="333333"/>
          <w:sz w:val="22"/>
          <w:szCs w:val="22"/>
        </w:rPr>
        <w:t xml:space="preserve">FDA Commissioner </w:t>
      </w:r>
      <w:r w:rsidR="00843214">
        <w:rPr>
          <w:rFonts w:ascii="Trebuchet MS" w:hAnsi="Trebuchet MS" w:cs="Arial"/>
          <w:color w:val="333333"/>
          <w:sz w:val="22"/>
          <w:szCs w:val="22"/>
        </w:rPr>
        <w:t xml:space="preserve">just </w:t>
      </w:r>
      <w:r w:rsidR="00227146">
        <w:rPr>
          <w:rFonts w:ascii="Trebuchet MS" w:hAnsi="Trebuchet MS" w:cs="Arial"/>
          <w:color w:val="333333"/>
          <w:sz w:val="22"/>
          <w:szCs w:val="22"/>
        </w:rPr>
        <w:t>nominated</w:t>
      </w:r>
      <w:r w:rsidR="00843214">
        <w:rPr>
          <w:rFonts w:ascii="Trebuchet MS" w:hAnsi="Trebuchet MS" w:cs="Arial"/>
          <w:color w:val="333333"/>
          <w:sz w:val="22"/>
          <w:szCs w:val="22"/>
        </w:rPr>
        <w:t xml:space="preserve"> last week, Scott Gottlieb, </w:t>
      </w:r>
      <w:r w:rsidR="00227146">
        <w:rPr>
          <w:rFonts w:ascii="Trebuchet MS" w:hAnsi="Trebuchet MS" w:cs="Arial"/>
          <w:color w:val="333333"/>
          <w:sz w:val="22"/>
          <w:szCs w:val="22"/>
        </w:rPr>
        <w:t xml:space="preserve">but </w:t>
      </w:r>
      <w:r w:rsidR="00843214">
        <w:rPr>
          <w:rFonts w:ascii="Trebuchet MS" w:hAnsi="Trebuchet MS" w:cs="Arial"/>
          <w:color w:val="333333"/>
          <w:sz w:val="22"/>
          <w:szCs w:val="22"/>
        </w:rPr>
        <w:t>not</w:t>
      </w:r>
      <w:r w:rsidR="00227146">
        <w:rPr>
          <w:rFonts w:ascii="Trebuchet MS" w:hAnsi="Trebuchet MS" w:cs="Arial"/>
          <w:color w:val="333333"/>
          <w:sz w:val="22"/>
          <w:szCs w:val="22"/>
        </w:rPr>
        <w:t xml:space="preserve"> confirmed as yet</w:t>
      </w:r>
      <w:r w:rsidR="00843214">
        <w:rPr>
          <w:rFonts w:ascii="Trebuchet MS" w:hAnsi="Trebuchet MS" w:cs="Arial"/>
          <w:color w:val="333333"/>
          <w:sz w:val="22"/>
          <w:szCs w:val="22"/>
        </w:rPr>
        <w:t>.</w:t>
      </w:r>
      <w:r w:rsidRPr="001855BB">
        <w:rPr>
          <w:rFonts w:ascii="Trebuchet MS" w:hAnsi="Trebuchet MS" w:cs="Arial"/>
          <w:color w:val="333333"/>
          <w:sz w:val="22"/>
          <w:szCs w:val="22"/>
        </w:rPr>
        <w:t xml:space="preserve"> </w:t>
      </w:r>
      <w:r w:rsidRPr="001855BB">
        <w:rPr>
          <w:rFonts w:ascii="Trebuchet MS" w:hAnsi="Trebuchet MS" w:cs="Helvetica"/>
          <w:color w:val="333333"/>
          <w:sz w:val="22"/>
          <w:szCs w:val="22"/>
        </w:rPr>
        <w:t xml:space="preserve"> </w:t>
      </w:r>
    </w:p>
    <w:p w:rsidR="00171AF6" w:rsidRPr="001855BB" w:rsidRDefault="00171AF6" w:rsidP="00171AF6">
      <w:pPr>
        <w:pStyle w:val="para"/>
        <w:spacing w:after="240" w:line="276" w:lineRule="auto"/>
        <w:rPr>
          <w:rFonts w:ascii="Trebuchet MS" w:hAnsi="Trebuchet MS" w:cs="Arial"/>
          <w:color w:val="333333"/>
          <w:sz w:val="22"/>
          <w:szCs w:val="22"/>
        </w:rPr>
      </w:pPr>
      <w:r w:rsidRPr="001855BB">
        <w:rPr>
          <w:rFonts w:ascii="Trebuchet MS" w:hAnsi="Trebuchet MS" w:cs="Arial"/>
          <w:color w:val="333333"/>
          <w:sz w:val="22"/>
          <w:szCs w:val="22"/>
        </w:rPr>
        <w:t xml:space="preserve">In the meantime, some views already have been published on the Cures Act: </w:t>
      </w:r>
      <w:proofErr w:type="spellStart"/>
      <w:r w:rsidRPr="001855BB">
        <w:rPr>
          <w:rFonts w:ascii="Trebuchet MS" w:hAnsi="Trebuchet MS" w:cs="Arial"/>
          <w:color w:val="333333"/>
          <w:sz w:val="22"/>
          <w:szCs w:val="22"/>
        </w:rPr>
        <w:t>Kesselheim</w:t>
      </w:r>
      <w:proofErr w:type="spellEnd"/>
      <w:r w:rsidRPr="001855BB">
        <w:rPr>
          <w:rFonts w:ascii="Trebuchet MS" w:hAnsi="Trebuchet MS" w:cs="Arial"/>
          <w:color w:val="333333"/>
          <w:sz w:val="22"/>
          <w:szCs w:val="22"/>
        </w:rPr>
        <w:t xml:space="preserve">, A.S. and </w:t>
      </w:r>
      <w:proofErr w:type="spellStart"/>
      <w:r w:rsidRPr="001855BB">
        <w:rPr>
          <w:rFonts w:ascii="Trebuchet MS" w:hAnsi="Trebuchet MS" w:cs="Arial"/>
          <w:color w:val="333333"/>
          <w:sz w:val="22"/>
          <w:szCs w:val="22"/>
        </w:rPr>
        <w:t>Avron</w:t>
      </w:r>
      <w:proofErr w:type="spellEnd"/>
      <w:r w:rsidRPr="001855BB">
        <w:rPr>
          <w:rFonts w:ascii="Trebuchet MS" w:hAnsi="Trebuchet MS" w:cs="Arial"/>
          <w:color w:val="333333"/>
          <w:sz w:val="22"/>
          <w:szCs w:val="22"/>
        </w:rPr>
        <w:t xml:space="preserve">, J. </w:t>
      </w:r>
      <w:r w:rsidRPr="001855BB">
        <w:rPr>
          <w:rFonts w:ascii="Trebuchet MS" w:hAnsi="Trebuchet MS" w:cs="Arial"/>
          <w:i/>
          <w:color w:val="333333"/>
          <w:sz w:val="22"/>
          <w:szCs w:val="22"/>
        </w:rPr>
        <w:t>“New 21</w:t>
      </w:r>
      <w:r w:rsidRPr="001855BB">
        <w:rPr>
          <w:rFonts w:ascii="Trebuchet MS" w:hAnsi="Trebuchet MS" w:cs="Arial"/>
          <w:i/>
          <w:color w:val="333333"/>
          <w:sz w:val="22"/>
          <w:szCs w:val="22"/>
          <w:vertAlign w:val="superscript"/>
        </w:rPr>
        <w:t>st</w:t>
      </w:r>
      <w:r w:rsidRPr="001855BB">
        <w:rPr>
          <w:rFonts w:ascii="Trebuchet MS" w:hAnsi="Trebuchet MS" w:cs="Arial"/>
          <w:i/>
          <w:color w:val="333333"/>
          <w:sz w:val="22"/>
          <w:szCs w:val="22"/>
        </w:rPr>
        <w:t xml:space="preserve"> Century Cures” Legislation: Speed and Ease vs. Science,</w:t>
      </w:r>
      <w:r w:rsidRPr="001855BB">
        <w:rPr>
          <w:rFonts w:ascii="Trebuchet MS" w:hAnsi="Trebuchet MS" w:cs="Arial"/>
          <w:color w:val="333333"/>
          <w:sz w:val="22"/>
          <w:szCs w:val="22"/>
        </w:rPr>
        <w:t xml:space="preserve"> </w:t>
      </w:r>
      <w:proofErr w:type="spellStart"/>
      <w:r w:rsidRPr="001855BB">
        <w:rPr>
          <w:rFonts w:ascii="Trebuchet MS" w:hAnsi="Trebuchet MS" w:cs="Arial"/>
          <w:color w:val="333333"/>
          <w:sz w:val="22"/>
          <w:szCs w:val="22"/>
        </w:rPr>
        <w:t>Jama</w:t>
      </w:r>
      <w:proofErr w:type="spellEnd"/>
      <w:r w:rsidRPr="001855BB">
        <w:rPr>
          <w:rFonts w:ascii="Trebuchet MS" w:hAnsi="Trebuchet MS" w:cs="Arial"/>
          <w:color w:val="333333"/>
          <w:sz w:val="22"/>
          <w:szCs w:val="22"/>
        </w:rPr>
        <w:t xml:space="preserve">, online, January 5, 2017.  And they are expressed here.  </w:t>
      </w:r>
    </w:p>
    <w:p w:rsidR="00171AF6" w:rsidRPr="001855BB" w:rsidRDefault="00171AF6" w:rsidP="00171AF6">
      <w:pPr>
        <w:pStyle w:val="para"/>
        <w:spacing w:after="240" w:line="276" w:lineRule="auto"/>
        <w:rPr>
          <w:rFonts w:ascii="Trebuchet MS" w:hAnsi="Trebuchet MS" w:cs="Arial"/>
          <w:color w:val="333333"/>
          <w:sz w:val="22"/>
          <w:szCs w:val="22"/>
        </w:rPr>
      </w:pPr>
      <w:r w:rsidRPr="001855BB">
        <w:rPr>
          <w:rFonts w:ascii="Trebuchet MS" w:hAnsi="Trebuchet MS" w:cs="Arial"/>
          <w:color w:val="333333"/>
          <w:sz w:val="22"/>
          <w:szCs w:val="22"/>
        </w:rPr>
        <w:t xml:space="preserve">Among other things, </w:t>
      </w:r>
      <w:proofErr w:type="spellStart"/>
      <w:r w:rsidRPr="001855BB">
        <w:rPr>
          <w:rFonts w:ascii="Trebuchet MS" w:hAnsi="Trebuchet MS" w:cs="Arial"/>
          <w:color w:val="333333"/>
          <w:sz w:val="22"/>
          <w:szCs w:val="22"/>
        </w:rPr>
        <w:t>Kesselheim</w:t>
      </w:r>
      <w:proofErr w:type="spellEnd"/>
      <w:r w:rsidRPr="001855BB">
        <w:rPr>
          <w:rFonts w:ascii="Trebuchet MS" w:hAnsi="Trebuchet MS" w:cs="Arial"/>
          <w:color w:val="333333"/>
          <w:sz w:val="22"/>
          <w:szCs w:val="22"/>
        </w:rPr>
        <w:t xml:space="preserve"> and </w:t>
      </w:r>
      <w:proofErr w:type="spellStart"/>
      <w:r w:rsidRPr="001855BB">
        <w:rPr>
          <w:rFonts w:ascii="Trebuchet MS" w:hAnsi="Trebuchet MS" w:cs="Arial"/>
          <w:color w:val="333333"/>
          <w:sz w:val="22"/>
          <w:szCs w:val="22"/>
        </w:rPr>
        <w:t>Avron</w:t>
      </w:r>
      <w:proofErr w:type="spellEnd"/>
      <w:r w:rsidRPr="001855BB">
        <w:rPr>
          <w:rFonts w:ascii="Trebuchet MS" w:hAnsi="Trebuchet MS" w:cs="Arial"/>
          <w:color w:val="333333"/>
          <w:sz w:val="22"/>
          <w:szCs w:val="22"/>
        </w:rPr>
        <w:t xml:space="preserve"> are concerned that the Cures Act may lead to biological and other biomarkers becoming a basis for drug approval without rigorous validation. If so in the new FDA regulations, biomarkers would serve much more as surrogate endpoints in clinical trials.  </w:t>
      </w:r>
    </w:p>
    <w:p w:rsidR="00171AF6" w:rsidRPr="001855BB" w:rsidRDefault="00171AF6" w:rsidP="00171AF6">
      <w:pPr>
        <w:pStyle w:val="para"/>
        <w:spacing w:after="240" w:line="276" w:lineRule="auto"/>
        <w:rPr>
          <w:rFonts w:ascii="Helvetica" w:hAnsi="Helvetica" w:cs="Helvetica"/>
          <w:color w:val="333333"/>
          <w:sz w:val="22"/>
          <w:szCs w:val="22"/>
        </w:rPr>
      </w:pPr>
      <w:r w:rsidRPr="001855BB">
        <w:rPr>
          <w:rFonts w:ascii="Trebuchet MS" w:hAnsi="Trebuchet MS" w:cs="Arial"/>
          <w:color w:val="333333"/>
          <w:sz w:val="22"/>
          <w:szCs w:val="22"/>
        </w:rPr>
        <w:t xml:space="preserve">Moreover, they are concerned that observational data arising from routine clinical use may take the place of prospectively collected data from randomized clinical trials. If so in the new FDA regulations, the use of observational data would represent a monumental change in the approval process for new drugs. </w:t>
      </w:r>
      <w:r w:rsidRPr="001855BB">
        <w:rPr>
          <w:rFonts w:ascii="Arial" w:hAnsi="Arial" w:cs="Arial"/>
          <w:color w:val="333333"/>
          <w:sz w:val="22"/>
          <w:szCs w:val="22"/>
        </w:rPr>
        <w:t xml:space="preserve"> </w:t>
      </w:r>
      <w:r w:rsidRPr="001855BB">
        <w:rPr>
          <w:rFonts w:ascii="Helvetica" w:hAnsi="Helvetica" w:cs="Helvetica"/>
          <w:color w:val="333333"/>
          <w:sz w:val="22"/>
          <w:szCs w:val="22"/>
        </w:rPr>
        <w:t xml:space="preserve"> </w:t>
      </w:r>
    </w:p>
    <w:p w:rsidR="00391E58" w:rsidRPr="00BD6E85" w:rsidRDefault="00E92539">
      <w:pPr>
        <w:rPr>
          <w:rFonts w:ascii="Trebuchet MS" w:hAnsi="Trebuchet MS" w:cs="Arial"/>
        </w:rPr>
      </w:pPr>
      <w:r w:rsidRPr="00BD6E85">
        <w:rPr>
          <w:rFonts w:ascii="Trebuchet MS" w:hAnsi="Trebuchet MS" w:cs="Arial"/>
          <w:b/>
        </w:rPr>
        <w:t xml:space="preserve">What are the key measures used in </w:t>
      </w:r>
      <w:r w:rsidR="00AF2B04" w:rsidRPr="00BD6E85">
        <w:rPr>
          <w:rFonts w:ascii="Trebuchet MS" w:hAnsi="Trebuchet MS" w:cs="Arial"/>
          <w:b/>
        </w:rPr>
        <w:t>the drug development process</w:t>
      </w:r>
      <w:r w:rsidRPr="00BD6E85">
        <w:rPr>
          <w:rFonts w:ascii="Trebuchet MS" w:hAnsi="Trebuchet MS" w:cs="Arial"/>
        </w:rPr>
        <w:t xml:space="preserve">? </w:t>
      </w:r>
    </w:p>
    <w:p w:rsidR="00D47FBD" w:rsidRDefault="00D47FBD" w:rsidP="00D47FBD">
      <w:pPr>
        <w:spacing w:line="240" w:lineRule="auto"/>
        <w:rPr>
          <w:rFonts w:ascii="Trebuchet MS" w:hAnsi="Trebuchet MS" w:cs="Arial"/>
        </w:rPr>
      </w:pPr>
      <w:r>
        <w:rPr>
          <w:rFonts w:ascii="Trebuchet MS" w:hAnsi="Trebuchet MS" w:cs="Arial"/>
        </w:rPr>
        <w:t>K</w:t>
      </w:r>
      <w:r w:rsidR="003E79CB" w:rsidRPr="00BD6E85">
        <w:rPr>
          <w:rFonts w:ascii="Trebuchet MS" w:hAnsi="Trebuchet MS" w:cs="Arial"/>
        </w:rPr>
        <w:t xml:space="preserve">ey </w:t>
      </w:r>
      <w:r>
        <w:rPr>
          <w:rFonts w:ascii="Trebuchet MS" w:hAnsi="Trebuchet MS" w:cs="Arial"/>
        </w:rPr>
        <w:t xml:space="preserve">measures in </w:t>
      </w:r>
      <w:r w:rsidR="009C55CF" w:rsidRPr="00BD6E85">
        <w:rPr>
          <w:rFonts w:ascii="Trebuchet MS" w:hAnsi="Trebuchet MS" w:cs="Arial"/>
        </w:rPr>
        <w:t xml:space="preserve">the process </w:t>
      </w:r>
      <w:r w:rsidR="00AF2B04" w:rsidRPr="00BD6E85">
        <w:rPr>
          <w:rFonts w:ascii="Trebuchet MS" w:hAnsi="Trebuchet MS" w:cs="Arial"/>
        </w:rPr>
        <w:t xml:space="preserve">of </w:t>
      </w:r>
      <w:r w:rsidR="00BE737A" w:rsidRPr="00BD6E85">
        <w:rPr>
          <w:rFonts w:ascii="Trebuchet MS" w:hAnsi="Trebuchet MS" w:cs="Arial"/>
        </w:rPr>
        <w:t xml:space="preserve">developing new </w:t>
      </w:r>
      <w:r w:rsidR="00270DED" w:rsidRPr="00BD6E85">
        <w:rPr>
          <w:rFonts w:ascii="Trebuchet MS" w:hAnsi="Trebuchet MS" w:cs="Arial"/>
        </w:rPr>
        <w:t>drugs</w:t>
      </w:r>
      <w:r>
        <w:rPr>
          <w:rFonts w:ascii="Trebuchet MS" w:hAnsi="Trebuchet MS" w:cs="Arial"/>
        </w:rPr>
        <w:t xml:space="preserve"> are defined in the following sources:</w:t>
      </w:r>
      <w:r w:rsidR="00CE4E62" w:rsidRPr="00BD6E85">
        <w:rPr>
          <w:rFonts w:ascii="Trebuchet MS" w:hAnsi="Trebuchet MS" w:cs="Arial"/>
        </w:rPr>
        <w:t xml:space="preserve"> </w:t>
      </w:r>
    </w:p>
    <w:p w:rsidR="001855BB" w:rsidRPr="00D47FBD" w:rsidRDefault="00CE4E62" w:rsidP="00D47FBD">
      <w:pPr>
        <w:spacing w:line="240" w:lineRule="auto"/>
        <w:rPr>
          <w:rFonts w:ascii="Trebuchet MS" w:hAnsi="Trebuchet MS" w:cs="Arial"/>
        </w:rPr>
      </w:pPr>
      <w:r w:rsidRPr="001855BB">
        <w:rPr>
          <w:rFonts w:ascii="Trebuchet MS" w:hAnsi="Trebuchet MS" w:cs="Arial"/>
          <w:b/>
          <w:sz w:val="16"/>
          <w:szCs w:val="16"/>
        </w:rPr>
        <w:t>Sullivan, E.J., Clinical Trial Endpoints, Course for the FDA, 2013</w:t>
      </w:r>
      <w:r w:rsidR="00586F87" w:rsidRPr="001855BB">
        <w:rPr>
          <w:rFonts w:ascii="Trebuchet MS" w:hAnsi="Trebuchet MS" w:cs="Arial"/>
          <w:b/>
          <w:sz w:val="16"/>
          <w:szCs w:val="16"/>
        </w:rPr>
        <w:t xml:space="preserve">; </w:t>
      </w:r>
    </w:p>
    <w:p w:rsidR="00586F87" w:rsidRPr="001855BB" w:rsidRDefault="00586F87" w:rsidP="00BD6E85">
      <w:pPr>
        <w:spacing w:after="120" w:line="240" w:lineRule="auto"/>
        <w:rPr>
          <w:rFonts w:ascii="Trebuchet MS" w:hAnsi="Trebuchet MS" w:cs="Arial"/>
          <w:b/>
          <w:sz w:val="16"/>
          <w:szCs w:val="16"/>
        </w:rPr>
      </w:pPr>
      <w:r w:rsidRPr="001855BB">
        <w:rPr>
          <w:rFonts w:ascii="Trebuchet MS" w:eastAsia="Times New Roman" w:hAnsi="Trebuchet MS" w:cs="Arial"/>
          <w:b/>
          <w:sz w:val="16"/>
          <w:szCs w:val="16"/>
        </w:rPr>
        <w:t xml:space="preserve">Center for Health Policy, </w:t>
      </w:r>
      <w:r w:rsidR="003E79CB" w:rsidRPr="001855BB">
        <w:rPr>
          <w:rFonts w:ascii="Trebuchet MS" w:eastAsia="Times New Roman" w:hAnsi="Trebuchet MS" w:cs="Arial"/>
          <w:b/>
          <w:sz w:val="16"/>
          <w:szCs w:val="16"/>
        </w:rPr>
        <w:t>the</w:t>
      </w:r>
      <w:r w:rsidRPr="001855BB">
        <w:rPr>
          <w:rFonts w:ascii="Trebuchet MS" w:eastAsia="Times New Roman" w:hAnsi="Trebuchet MS" w:cs="Arial"/>
          <w:b/>
          <w:sz w:val="16"/>
          <w:szCs w:val="16"/>
        </w:rPr>
        <w:t xml:space="preserve"> Brookings Institution, Workshop</w:t>
      </w:r>
      <w:r w:rsidRPr="001855BB">
        <w:rPr>
          <w:rFonts w:ascii="Trebuchet MS" w:eastAsia="Times New Roman" w:hAnsi="Trebuchet MS" w:cs="Arial"/>
          <w:b/>
          <w:i/>
          <w:sz w:val="16"/>
          <w:szCs w:val="16"/>
        </w:rPr>
        <w:t xml:space="preserve"> on Facilitating Biomarker Development, </w:t>
      </w:r>
      <w:r w:rsidRPr="001855BB">
        <w:rPr>
          <w:rFonts w:ascii="Trebuchet MS" w:eastAsia="Times New Roman" w:hAnsi="Trebuchet MS" w:cs="Arial"/>
          <w:b/>
          <w:sz w:val="16"/>
          <w:szCs w:val="16"/>
        </w:rPr>
        <w:t xml:space="preserve">October 27, 2015; and </w:t>
      </w:r>
    </w:p>
    <w:p w:rsidR="00586F87" w:rsidRPr="001855BB" w:rsidRDefault="00586F87" w:rsidP="00BD6E85">
      <w:pPr>
        <w:spacing w:after="0" w:line="240" w:lineRule="auto"/>
        <w:rPr>
          <w:rFonts w:ascii="Trebuchet MS" w:eastAsia="Times New Roman" w:hAnsi="Trebuchet MS" w:cs="Arial"/>
          <w:b/>
          <w:sz w:val="16"/>
          <w:szCs w:val="16"/>
        </w:rPr>
      </w:pPr>
      <w:r w:rsidRPr="001855BB">
        <w:rPr>
          <w:rFonts w:ascii="Trebuchet MS" w:eastAsia="Times New Roman" w:hAnsi="Trebuchet MS" w:cs="Arial"/>
          <w:b/>
          <w:sz w:val="16"/>
          <w:szCs w:val="16"/>
        </w:rPr>
        <w:t xml:space="preserve">Baker, S.G. and Kramer, BS, </w:t>
      </w:r>
      <w:r w:rsidRPr="001855BB">
        <w:rPr>
          <w:rFonts w:ascii="Trebuchet MS" w:eastAsia="Times New Roman" w:hAnsi="Trebuchet MS" w:cs="Arial"/>
          <w:b/>
          <w:i/>
          <w:sz w:val="16"/>
          <w:szCs w:val="16"/>
        </w:rPr>
        <w:t>Evaluating Surrogate Endpoints, Prognostic Markers, and Predictive Markers: Some Simple Themes</w:t>
      </w:r>
      <w:r w:rsidRPr="001855BB">
        <w:rPr>
          <w:rFonts w:ascii="Trebuchet MS" w:eastAsia="Times New Roman" w:hAnsi="Trebuchet MS" w:cs="Arial"/>
          <w:b/>
          <w:sz w:val="16"/>
          <w:szCs w:val="16"/>
        </w:rPr>
        <w:t>, Clinical Trials, August 2015.</w:t>
      </w:r>
    </w:p>
    <w:p w:rsidR="00BD6E85" w:rsidRDefault="00BD6E85" w:rsidP="00BD6E85">
      <w:pPr>
        <w:spacing w:after="0" w:line="240" w:lineRule="auto"/>
        <w:rPr>
          <w:rFonts w:ascii="Trebuchet MS" w:hAnsi="Trebuchet MS" w:cs="Arial"/>
        </w:rPr>
      </w:pPr>
    </w:p>
    <w:p w:rsidR="00466BD4" w:rsidRPr="00BD6E85" w:rsidRDefault="00D47FBD" w:rsidP="00BD6E85">
      <w:pPr>
        <w:spacing w:after="120" w:line="240" w:lineRule="auto"/>
        <w:rPr>
          <w:rFonts w:ascii="Trebuchet MS" w:hAnsi="Trebuchet MS" w:cs="Arial"/>
        </w:rPr>
      </w:pPr>
      <w:r>
        <w:rPr>
          <w:rFonts w:ascii="Trebuchet MS" w:hAnsi="Trebuchet MS" w:cs="Arial"/>
        </w:rPr>
        <w:t>T</w:t>
      </w:r>
      <w:r w:rsidR="00586F87" w:rsidRPr="00BD6E85">
        <w:rPr>
          <w:rFonts w:ascii="Trebuchet MS" w:hAnsi="Trebuchet MS" w:cs="Arial"/>
        </w:rPr>
        <w:t>h</w:t>
      </w:r>
      <w:r>
        <w:rPr>
          <w:rFonts w:ascii="Trebuchet MS" w:hAnsi="Trebuchet MS" w:cs="Arial"/>
        </w:rPr>
        <w:t>ey define th</w:t>
      </w:r>
      <w:r w:rsidR="00586F87" w:rsidRPr="00BD6E85">
        <w:rPr>
          <w:rFonts w:ascii="Trebuchet MS" w:hAnsi="Trebuchet MS" w:cs="Arial"/>
        </w:rPr>
        <w:t xml:space="preserve">ree </w:t>
      </w:r>
      <w:r w:rsidR="003E79CB" w:rsidRPr="00BD6E85">
        <w:rPr>
          <w:rFonts w:ascii="Trebuchet MS" w:hAnsi="Trebuchet MS" w:cs="Arial"/>
        </w:rPr>
        <w:t>important</w:t>
      </w:r>
      <w:r w:rsidR="00586F87" w:rsidRPr="00BD6E85">
        <w:rPr>
          <w:rFonts w:ascii="Trebuchet MS" w:hAnsi="Trebuchet MS" w:cs="Arial"/>
        </w:rPr>
        <w:t xml:space="preserve"> measures </w:t>
      </w:r>
      <w:r w:rsidR="00BD6E85" w:rsidRPr="00BD6E85">
        <w:rPr>
          <w:rFonts w:ascii="Trebuchet MS" w:hAnsi="Trebuchet MS" w:cs="Arial"/>
        </w:rPr>
        <w:t>for drug development</w:t>
      </w:r>
      <w:r w:rsidR="00586F87" w:rsidRPr="00BD6E85">
        <w:rPr>
          <w:rFonts w:ascii="Trebuchet MS" w:hAnsi="Trebuchet MS" w:cs="Arial"/>
        </w:rPr>
        <w:t xml:space="preserve">: </w:t>
      </w:r>
    </w:p>
    <w:p w:rsidR="005036FB" w:rsidRPr="00BD6E85" w:rsidRDefault="00466BD4" w:rsidP="00BD6E85">
      <w:pPr>
        <w:spacing w:after="120" w:line="240" w:lineRule="auto"/>
        <w:rPr>
          <w:rFonts w:ascii="Trebuchet MS" w:hAnsi="Trebuchet MS" w:cs="Arial"/>
        </w:rPr>
      </w:pPr>
      <w:r w:rsidRPr="00BD6E85">
        <w:rPr>
          <w:rFonts w:ascii="Trebuchet MS" w:hAnsi="Trebuchet MS" w:cs="Arial"/>
          <w:i/>
        </w:rPr>
        <w:t>1</w:t>
      </w:r>
      <w:r w:rsidRPr="00BD6E85">
        <w:rPr>
          <w:rFonts w:ascii="Trebuchet MS" w:hAnsi="Trebuchet MS" w:cs="Arial"/>
        </w:rPr>
        <w:t>.</w:t>
      </w:r>
      <w:r w:rsidRPr="00BD6E85">
        <w:rPr>
          <w:rFonts w:ascii="Trebuchet MS" w:hAnsi="Trebuchet MS" w:cs="Arial"/>
          <w:i/>
        </w:rPr>
        <w:t xml:space="preserve"> Primary</w:t>
      </w:r>
      <w:r w:rsidR="00E92539" w:rsidRPr="00BD6E85">
        <w:rPr>
          <w:rFonts w:ascii="Trebuchet MS" w:hAnsi="Trebuchet MS" w:cs="Arial"/>
          <w:i/>
        </w:rPr>
        <w:t xml:space="preserve"> endpoints</w:t>
      </w:r>
      <w:r w:rsidR="00E92539" w:rsidRPr="00BD6E85">
        <w:rPr>
          <w:rFonts w:ascii="Trebuchet MS" w:hAnsi="Trebuchet MS" w:cs="Arial"/>
        </w:rPr>
        <w:t xml:space="preserve"> are </w:t>
      </w:r>
      <w:r w:rsidR="007B3D78" w:rsidRPr="00BD6E85">
        <w:rPr>
          <w:rFonts w:ascii="Trebuchet MS" w:hAnsi="Trebuchet MS" w:cs="Arial"/>
        </w:rPr>
        <w:t xml:space="preserve">detectable </w:t>
      </w:r>
      <w:r w:rsidR="007B3D78" w:rsidRPr="00BD6E85">
        <w:rPr>
          <w:rFonts w:ascii="Trebuchet MS" w:hAnsi="Trebuchet MS" w:cs="Arial"/>
          <w:color w:val="000000"/>
        </w:rPr>
        <w:t xml:space="preserve">benefits to patients---including lengthened survival, improved symptoms, enhanced functional capacity, and decreased chances of developing a disease complication. </w:t>
      </w:r>
      <w:r w:rsidR="00CD6197" w:rsidRPr="00BD6E85">
        <w:rPr>
          <w:rFonts w:ascii="Trebuchet MS" w:hAnsi="Trebuchet MS" w:cs="Arial"/>
          <w:color w:val="000000"/>
        </w:rPr>
        <w:t>They</w:t>
      </w:r>
      <w:r w:rsidR="00E92539" w:rsidRPr="00BD6E85">
        <w:rPr>
          <w:rFonts w:ascii="Trebuchet MS" w:hAnsi="Trebuchet MS" w:cs="Arial"/>
        </w:rPr>
        <w:t xml:space="preserve"> </w:t>
      </w:r>
      <w:r w:rsidR="00CD6197" w:rsidRPr="00BD6E85">
        <w:rPr>
          <w:rFonts w:ascii="Trebuchet MS" w:hAnsi="Trebuchet MS" w:cs="Arial"/>
        </w:rPr>
        <w:t xml:space="preserve">are the </w:t>
      </w:r>
      <w:r w:rsidR="00E92539" w:rsidRPr="00BD6E85">
        <w:rPr>
          <w:rFonts w:ascii="Trebuchet MS" w:hAnsi="Trebuchet MS" w:cs="Arial"/>
        </w:rPr>
        <w:t xml:space="preserve">preferred basis for approving a drug </w:t>
      </w:r>
      <w:r w:rsidR="00486AE5" w:rsidRPr="00BD6E85">
        <w:rPr>
          <w:rFonts w:ascii="Trebuchet MS" w:hAnsi="Trebuchet MS" w:cs="Arial"/>
        </w:rPr>
        <w:t>from</w:t>
      </w:r>
      <w:r w:rsidR="00E92539" w:rsidRPr="00BD6E85">
        <w:rPr>
          <w:rFonts w:ascii="Trebuchet MS" w:hAnsi="Trebuchet MS" w:cs="Arial"/>
        </w:rPr>
        <w:t xml:space="preserve"> a clinical trial. </w:t>
      </w:r>
    </w:p>
    <w:p w:rsidR="00E92539" w:rsidRPr="00BD6E85" w:rsidRDefault="00E92539" w:rsidP="00E92539">
      <w:pPr>
        <w:autoSpaceDE w:val="0"/>
        <w:autoSpaceDN w:val="0"/>
        <w:adjustRightInd w:val="0"/>
        <w:spacing w:after="240"/>
        <w:rPr>
          <w:rFonts w:ascii="Trebuchet MS" w:hAnsi="Trebuchet MS" w:cs="Arial"/>
          <w:color w:val="000000"/>
        </w:rPr>
      </w:pPr>
      <w:r w:rsidRPr="00BD6E85">
        <w:rPr>
          <w:rFonts w:ascii="Trebuchet MS" w:hAnsi="Trebuchet MS" w:cs="Arial"/>
          <w:color w:val="000000"/>
        </w:rPr>
        <w:t xml:space="preserve">There are two FDA-acceptable types of primary endpoints: (1) Objective measures: survival, disease exacerbation, clinical event; and (2) Subjective measures: Symptom score and a </w:t>
      </w:r>
      <w:r w:rsidR="00466BD4" w:rsidRPr="00BD6E85">
        <w:rPr>
          <w:rFonts w:ascii="Trebuchet MS" w:hAnsi="Trebuchet MS" w:cs="Arial"/>
          <w:color w:val="000000"/>
        </w:rPr>
        <w:t>tested</w:t>
      </w:r>
      <w:r w:rsidR="00486AE5" w:rsidRPr="00BD6E85">
        <w:rPr>
          <w:rFonts w:ascii="Trebuchet MS" w:hAnsi="Trebuchet MS" w:cs="Arial"/>
          <w:color w:val="000000"/>
        </w:rPr>
        <w:t xml:space="preserve"> </w:t>
      </w:r>
      <w:r w:rsidR="007A5AE7" w:rsidRPr="00BD6E85">
        <w:rPr>
          <w:rFonts w:ascii="Trebuchet MS" w:hAnsi="Trebuchet MS" w:cs="Arial"/>
          <w:color w:val="000000"/>
        </w:rPr>
        <w:t xml:space="preserve">and validated </w:t>
      </w:r>
      <w:r w:rsidRPr="00BD6E85">
        <w:rPr>
          <w:rFonts w:ascii="Trebuchet MS" w:hAnsi="Trebuchet MS" w:cs="Arial"/>
          <w:color w:val="000000"/>
        </w:rPr>
        <w:t xml:space="preserve">“health related quality of life” survey. </w:t>
      </w:r>
      <w:r w:rsidR="00466BD4" w:rsidRPr="00BD6E85">
        <w:rPr>
          <w:rFonts w:ascii="Trebuchet MS" w:hAnsi="Trebuchet MS" w:cs="Arial"/>
          <w:color w:val="000000"/>
        </w:rPr>
        <w:t xml:space="preserve">To be </w:t>
      </w:r>
      <w:r w:rsidR="00486AE5" w:rsidRPr="00BD6E85">
        <w:rPr>
          <w:rFonts w:ascii="Trebuchet MS" w:hAnsi="Trebuchet MS" w:cs="Arial"/>
          <w:color w:val="000000"/>
        </w:rPr>
        <w:t xml:space="preserve">a </w:t>
      </w:r>
      <w:r w:rsidR="00466BD4" w:rsidRPr="00BD6E85">
        <w:rPr>
          <w:rFonts w:ascii="Trebuchet MS" w:hAnsi="Trebuchet MS" w:cs="Arial"/>
          <w:color w:val="000000"/>
        </w:rPr>
        <w:t>useful</w:t>
      </w:r>
      <w:r w:rsidR="00486AE5" w:rsidRPr="00BD6E85">
        <w:rPr>
          <w:rFonts w:ascii="Trebuchet MS" w:hAnsi="Trebuchet MS" w:cs="Arial"/>
          <w:color w:val="000000"/>
        </w:rPr>
        <w:t xml:space="preserve"> primary endpoint</w:t>
      </w:r>
      <w:r w:rsidR="00466BD4" w:rsidRPr="00BD6E85">
        <w:rPr>
          <w:rFonts w:ascii="Trebuchet MS" w:hAnsi="Trebuchet MS" w:cs="Arial"/>
          <w:color w:val="000000"/>
        </w:rPr>
        <w:t>, b</w:t>
      </w:r>
      <w:r w:rsidRPr="00BD6E85">
        <w:rPr>
          <w:rFonts w:ascii="Trebuchet MS" w:hAnsi="Trebuchet MS" w:cs="Arial"/>
          <w:color w:val="000000"/>
        </w:rPr>
        <w:t xml:space="preserve">oth </w:t>
      </w:r>
      <w:r w:rsidR="00486AE5" w:rsidRPr="00BD6E85">
        <w:rPr>
          <w:rFonts w:ascii="Trebuchet MS" w:hAnsi="Trebuchet MS" w:cs="Arial"/>
          <w:color w:val="000000"/>
        </w:rPr>
        <w:t xml:space="preserve">types </w:t>
      </w:r>
      <w:r w:rsidRPr="00BD6E85">
        <w:rPr>
          <w:rFonts w:ascii="Trebuchet MS" w:hAnsi="Trebuchet MS" w:cs="Arial"/>
          <w:color w:val="000000"/>
        </w:rPr>
        <w:t xml:space="preserve">need to </w:t>
      </w:r>
      <w:r w:rsidR="00701846" w:rsidRPr="00BD6E85">
        <w:rPr>
          <w:rFonts w:ascii="Trebuchet MS" w:hAnsi="Trebuchet MS" w:cs="Arial"/>
          <w:color w:val="000000"/>
        </w:rPr>
        <w:t xml:space="preserve">closely </w:t>
      </w:r>
      <w:r w:rsidR="00466BD4" w:rsidRPr="00BD6E85">
        <w:rPr>
          <w:rFonts w:ascii="Trebuchet MS" w:hAnsi="Trebuchet MS" w:cs="Arial"/>
          <w:color w:val="000000"/>
        </w:rPr>
        <w:t xml:space="preserve">track </w:t>
      </w:r>
      <w:r w:rsidRPr="00BD6E85">
        <w:rPr>
          <w:rFonts w:ascii="Trebuchet MS" w:hAnsi="Trebuchet MS" w:cs="Arial"/>
          <w:color w:val="000000"/>
        </w:rPr>
        <w:t>patient baseline differences and condition changes.</w:t>
      </w:r>
    </w:p>
    <w:p w:rsidR="009C55CF" w:rsidRPr="00BD6E85" w:rsidRDefault="009C55CF" w:rsidP="009C55CF">
      <w:pPr>
        <w:rPr>
          <w:rFonts w:ascii="Trebuchet MS" w:hAnsi="Trebuchet MS" w:cs="Arial"/>
          <w:b/>
          <w:i/>
          <w:color w:val="000000"/>
        </w:rPr>
      </w:pPr>
      <w:r w:rsidRPr="00BD6E85">
        <w:rPr>
          <w:rFonts w:ascii="Trebuchet MS" w:hAnsi="Trebuchet MS" w:cs="Arial"/>
        </w:rPr>
        <w:t>An</w:t>
      </w:r>
      <w:r w:rsidRPr="00BD6E85">
        <w:rPr>
          <w:rFonts w:ascii="Trebuchet MS" w:hAnsi="Trebuchet MS" w:cs="Arial"/>
          <w:color w:val="000000"/>
        </w:rPr>
        <w:t xml:space="preserve"> example of a primary endpoint for APBD is the six-minute walking test that was used in </w:t>
      </w:r>
      <w:r w:rsidR="00BE737A" w:rsidRPr="00BD6E85">
        <w:rPr>
          <w:rFonts w:ascii="Trebuchet MS" w:hAnsi="Trebuchet MS" w:cs="Arial"/>
          <w:color w:val="000000"/>
        </w:rPr>
        <w:t>the</w:t>
      </w:r>
      <w:r w:rsidRPr="00BD6E85">
        <w:rPr>
          <w:rFonts w:ascii="Trebuchet MS" w:hAnsi="Trebuchet MS" w:cs="Arial"/>
          <w:color w:val="000000"/>
        </w:rPr>
        <w:t xml:space="preserve"> C7 Phase 2 clinical trial</w:t>
      </w:r>
      <w:r w:rsidR="00BE737A" w:rsidRPr="00BD6E85">
        <w:rPr>
          <w:rFonts w:ascii="Trebuchet MS" w:hAnsi="Trebuchet MS" w:cs="Arial"/>
          <w:color w:val="000000"/>
        </w:rPr>
        <w:t xml:space="preserve"> for </w:t>
      </w:r>
      <w:r w:rsidR="007A5AE7" w:rsidRPr="00BD6E85">
        <w:rPr>
          <w:rFonts w:ascii="Trebuchet MS" w:hAnsi="Trebuchet MS" w:cs="Arial"/>
          <w:color w:val="000000"/>
        </w:rPr>
        <w:t>this disease</w:t>
      </w:r>
      <w:r w:rsidRPr="00BD6E85">
        <w:rPr>
          <w:rFonts w:ascii="Trebuchet MS" w:hAnsi="Trebuchet MS" w:cs="Arial"/>
          <w:color w:val="000000"/>
        </w:rPr>
        <w:t xml:space="preserve">. </w:t>
      </w:r>
    </w:p>
    <w:p w:rsidR="005036FB" w:rsidRPr="00BD6E85" w:rsidRDefault="00445B55" w:rsidP="009C55CF">
      <w:pPr>
        <w:autoSpaceDE w:val="0"/>
        <w:autoSpaceDN w:val="0"/>
        <w:adjustRightInd w:val="0"/>
        <w:spacing w:after="240"/>
        <w:rPr>
          <w:rFonts w:ascii="Trebuchet MS" w:hAnsi="Trebuchet MS" w:cs="Arial"/>
          <w:color w:val="000000"/>
        </w:rPr>
      </w:pPr>
      <w:r w:rsidRPr="00BD6E85">
        <w:rPr>
          <w:rFonts w:ascii="Trebuchet MS" w:hAnsi="Trebuchet MS" w:cs="Arial"/>
          <w:i/>
          <w:color w:val="000000"/>
        </w:rPr>
        <w:lastRenderedPageBreak/>
        <w:t xml:space="preserve">2. </w:t>
      </w:r>
      <w:r w:rsidR="00CD6197" w:rsidRPr="00BD6E85">
        <w:rPr>
          <w:rFonts w:ascii="Trebuchet MS" w:hAnsi="Trebuchet MS" w:cs="Arial"/>
          <w:i/>
          <w:color w:val="000000"/>
        </w:rPr>
        <w:t xml:space="preserve">Biological </w:t>
      </w:r>
      <w:r w:rsidR="00B116DF" w:rsidRPr="00BD6E85">
        <w:rPr>
          <w:rFonts w:ascii="Trebuchet MS" w:hAnsi="Trebuchet MS" w:cs="Arial"/>
          <w:i/>
          <w:color w:val="000000"/>
        </w:rPr>
        <w:t>Biomarker</w:t>
      </w:r>
      <w:r w:rsidR="007B3D78" w:rsidRPr="00BD6E85">
        <w:rPr>
          <w:rFonts w:ascii="Trebuchet MS" w:hAnsi="Trebuchet MS" w:cs="Arial"/>
          <w:i/>
          <w:color w:val="000000"/>
        </w:rPr>
        <w:t>s</w:t>
      </w:r>
      <w:r w:rsidR="007B3D78" w:rsidRPr="00BD6E85">
        <w:rPr>
          <w:rFonts w:ascii="Trebuchet MS" w:hAnsi="Trebuchet MS"/>
        </w:rPr>
        <w:t xml:space="preserve"> </w:t>
      </w:r>
      <w:r w:rsidR="007B3D78" w:rsidRPr="00BD6E85">
        <w:rPr>
          <w:rFonts w:ascii="Trebuchet MS" w:hAnsi="Trebuchet MS" w:cs="Arial"/>
        </w:rPr>
        <w:t>are by definition an objective, quantifiable characteristic of biological processes.</w:t>
      </w:r>
      <w:r w:rsidR="007B3D78" w:rsidRPr="00BD6E85">
        <w:rPr>
          <w:rFonts w:ascii="Trebuchet MS" w:hAnsi="Trebuchet MS"/>
        </w:rPr>
        <w:t xml:space="preserve"> </w:t>
      </w:r>
      <w:r w:rsidR="00B116DF" w:rsidRPr="00BD6E85">
        <w:rPr>
          <w:rFonts w:ascii="Trebuchet MS" w:hAnsi="Trebuchet MS" w:cs="Arial"/>
          <w:color w:val="000000"/>
        </w:rPr>
        <w:t xml:space="preserve"> </w:t>
      </w:r>
      <w:r w:rsidR="007B3D78" w:rsidRPr="00BD6E85">
        <w:rPr>
          <w:rFonts w:ascii="Trebuchet MS" w:hAnsi="Trebuchet MS" w:cs="Arial"/>
          <w:color w:val="000000"/>
        </w:rPr>
        <w:t>They</w:t>
      </w:r>
      <w:r w:rsidR="00B116DF" w:rsidRPr="00BD6E85">
        <w:rPr>
          <w:rFonts w:ascii="Trebuchet MS" w:hAnsi="Trebuchet MS" w:cs="Arial"/>
          <w:color w:val="000000"/>
        </w:rPr>
        <w:t xml:space="preserve"> are often used in clinical practice to diagnose a disease</w:t>
      </w:r>
      <w:r w:rsidR="00A9370D" w:rsidRPr="00BD6E85">
        <w:rPr>
          <w:rFonts w:ascii="Trebuchet MS" w:hAnsi="Trebuchet MS" w:cs="Arial"/>
          <w:color w:val="000000"/>
        </w:rPr>
        <w:t>, predict</w:t>
      </w:r>
      <w:r w:rsidR="00B116DF" w:rsidRPr="00BD6E85">
        <w:rPr>
          <w:rFonts w:ascii="Trebuchet MS" w:hAnsi="Trebuchet MS" w:cs="Arial"/>
          <w:color w:val="000000"/>
        </w:rPr>
        <w:t>/monitor response to therapy</w:t>
      </w:r>
      <w:r w:rsidR="007B3D78" w:rsidRPr="00BD6E85">
        <w:rPr>
          <w:rFonts w:ascii="Trebuchet MS" w:hAnsi="Trebuchet MS" w:cs="Arial"/>
          <w:color w:val="000000"/>
        </w:rPr>
        <w:t xml:space="preserve">, </w:t>
      </w:r>
      <w:r w:rsidR="00CD6197" w:rsidRPr="00BD6E85">
        <w:rPr>
          <w:rFonts w:ascii="Trebuchet MS" w:hAnsi="Trebuchet MS" w:cs="Arial"/>
          <w:color w:val="000000"/>
        </w:rPr>
        <w:t xml:space="preserve">or </w:t>
      </w:r>
      <w:r w:rsidR="00B116DF" w:rsidRPr="00BD6E85">
        <w:rPr>
          <w:rFonts w:ascii="Trebuchet MS" w:hAnsi="Trebuchet MS" w:cs="Arial"/>
          <w:color w:val="000000"/>
        </w:rPr>
        <w:t>explore the effects of an investigational drug</w:t>
      </w:r>
      <w:r w:rsidR="00CD6197" w:rsidRPr="00BD6E85">
        <w:rPr>
          <w:rFonts w:ascii="Trebuchet MS" w:hAnsi="Trebuchet MS" w:cs="Arial"/>
          <w:color w:val="000000"/>
        </w:rPr>
        <w:t>.</w:t>
      </w:r>
      <w:r w:rsidR="00B116DF" w:rsidRPr="00BD6E85">
        <w:rPr>
          <w:rFonts w:ascii="Trebuchet MS" w:hAnsi="Trebuchet MS" w:cs="Arial"/>
          <w:color w:val="000000"/>
        </w:rPr>
        <w:t xml:space="preserve"> </w:t>
      </w:r>
    </w:p>
    <w:p w:rsidR="00B116DF" w:rsidRPr="00BD6E85" w:rsidRDefault="00CD6197" w:rsidP="00B116DF">
      <w:pPr>
        <w:autoSpaceDE w:val="0"/>
        <w:autoSpaceDN w:val="0"/>
        <w:adjustRightInd w:val="0"/>
        <w:spacing w:after="240"/>
        <w:rPr>
          <w:rFonts w:ascii="Trebuchet MS" w:hAnsi="Trebuchet MS" w:cs="Arial"/>
          <w:color w:val="000000"/>
        </w:rPr>
      </w:pPr>
      <w:r w:rsidRPr="00BD6E85">
        <w:rPr>
          <w:rFonts w:ascii="Trebuchet MS" w:hAnsi="Trebuchet MS" w:cs="Arial"/>
          <w:color w:val="000000"/>
        </w:rPr>
        <w:t xml:space="preserve">An example of a biological biomarker for APBD is </w:t>
      </w:r>
      <w:r w:rsidR="00137816" w:rsidRPr="00BD6E85">
        <w:rPr>
          <w:rFonts w:ascii="Trebuchet MS" w:hAnsi="Trebuchet MS" w:cs="Arial"/>
          <w:color w:val="000000"/>
        </w:rPr>
        <w:t>the metabolite</w:t>
      </w:r>
      <w:r w:rsidR="00130F6A" w:rsidRPr="00BD6E85">
        <w:rPr>
          <w:rFonts w:ascii="Trebuchet MS" w:hAnsi="Trebuchet MS" w:cs="Arial"/>
          <w:color w:val="000000"/>
        </w:rPr>
        <w:t>s</w:t>
      </w:r>
      <w:r w:rsidR="00137816" w:rsidRPr="00BD6E85">
        <w:rPr>
          <w:rFonts w:ascii="Trebuchet MS" w:hAnsi="Trebuchet MS" w:cs="Arial"/>
          <w:color w:val="000000"/>
        </w:rPr>
        <w:t xml:space="preserve"> of </w:t>
      </w:r>
      <w:proofErr w:type="spellStart"/>
      <w:r w:rsidR="003011F8" w:rsidRPr="00BD6E85">
        <w:rPr>
          <w:rFonts w:ascii="Trebuchet MS" w:hAnsi="Trebuchet MS" w:cs="Arial"/>
          <w:color w:val="000000"/>
        </w:rPr>
        <w:t>creatinine</w:t>
      </w:r>
      <w:proofErr w:type="spellEnd"/>
      <w:r w:rsidR="003011F8" w:rsidRPr="00BD6E85">
        <w:rPr>
          <w:rFonts w:ascii="Trebuchet MS" w:hAnsi="Trebuchet MS" w:cs="Arial"/>
          <w:color w:val="000000"/>
        </w:rPr>
        <w:t xml:space="preserve"> </w:t>
      </w:r>
      <w:r w:rsidR="00130F6A" w:rsidRPr="00BD6E85">
        <w:rPr>
          <w:rFonts w:ascii="Trebuchet MS" w:hAnsi="Trebuchet MS" w:cs="Arial"/>
          <w:color w:val="000000"/>
        </w:rPr>
        <w:t>and</w:t>
      </w:r>
      <w:r w:rsidR="00486AE5" w:rsidRPr="00BD6E85">
        <w:rPr>
          <w:rFonts w:ascii="Trebuchet MS" w:hAnsi="Trebuchet MS" w:cs="Arial"/>
          <w:color w:val="000000"/>
        </w:rPr>
        <w:t xml:space="preserve"> </w:t>
      </w:r>
      <w:proofErr w:type="spellStart"/>
      <w:r w:rsidR="00270DED" w:rsidRPr="00BD6E85">
        <w:rPr>
          <w:rFonts w:ascii="Trebuchet MS" w:hAnsi="Trebuchet MS" w:cs="Arial"/>
          <w:color w:val="000000"/>
        </w:rPr>
        <w:t>methionine</w:t>
      </w:r>
      <w:proofErr w:type="spellEnd"/>
      <w:r w:rsidR="001855BB">
        <w:rPr>
          <w:rFonts w:ascii="Trebuchet MS" w:hAnsi="Trebuchet MS" w:cs="Arial"/>
          <w:color w:val="000000"/>
        </w:rPr>
        <w:t xml:space="preserve"> that were used </w:t>
      </w:r>
      <w:r w:rsidR="00486AE5" w:rsidRPr="00BD6E85">
        <w:rPr>
          <w:rFonts w:ascii="Trebuchet MS" w:hAnsi="Trebuchet MS" w:cs="Arial"/>
          <w:color w:val="000000"/>
        </w:rPr>
        <w:t xml:space="preserve">to monitor </w:t>
      </w:r>
      <w:r w:rsidR="00BE737A" w:rsidRPr="00BD6E85">
        <w:rPr>
          <w:rFonts w:ascii="Trebuchet MS" w:hAnsi="Trebuchet MS" w:cs="Arial"/>
          <w:color w:val="000000"/>
        </w:rPr>
        <w:t xml:space="preserve">the </w:t>
      </w:r>
      <w:r w:rsidR="00486AE5" w:rsidRPr="00BD6E85">
        <w:rPr>
          <w:rFonts w:ascii="Trebuchet MS" w:hAnsi="Trebuchet MS" w:cs="Arial"/>
          <w:color w:val="000000"/>
        </w:rPr>
        <w:t xml:space="preserve">response </w:t>
      </w:r>
      <w:r w:rsidR="001855BB">
        <w:rPr>
          <w:rFonts w:ascii="Trebuchet MS" w:hAnsi="Trebuchet MS" w:cs="Arial"/>
          <w:color w:val="000000"/>
        </w:rPr>
        <w:t>to</w:t>
      </w:r>
      <w:r w:rsidR="00BE737A" w:rsidRPr="00BD6E85">
        <w:rPr>
          <w:rFonts w:ascii="Trebuchet MS" w:hAnsi="Trebuchet MS" w:cs="Arial"/>
          <w:color w:val="000000"/>
        </w:rPr>
        <w:t xml:space="preserve"> </w:t>
      </w:r>
      <w:r w:rsidR="00130F6A" w:rsidRPr="00BD6E85">
        <w:rPr>
          <w:rFonts w:ascii="Trebuchet MS" w:hAnsi="Trebuchet MS" w:cs="Arial"/>
          <w:color w:val="000000"/>
        </w:rPr>
        <w:t>therapy</w:t>
      </w:r>
      <w:r w:rsidR="00BE737A" w:rsidRPr="00BD6E85">
        <w:rPr>
          <w:rFonts w:ascii="Trebuchet MS" w:hAnsi="Trebuchet MS" w:cs="Arial"/>
          <w:color w:val="000000"/>
        </w:rPr>
        <w:t xml:space="preserve"> </w:t>
      </w:r>
      <w:r w:rsidR="00486AE5" w:rsidRPr="00BD6E85">
        <w:rPr>
          <w:rFonts w:ascii="Trebuchet MS" w:hAnsi="Trebuchet MS" w:cs="Arial"/>
          <w:color w:val="000000"/>
        </w:rPr>
        <w:t xml:space="preserve">in the C7 </w:t>
      </w:r>
      <w:r w:rsidRPr="00BD6E85">
        <w:rPr>
          <w:rFonts w:ascii="Trebuchet MS" w:hAnsi="Trebuchet MS" w:cs="Arial"/>
          <w:color w:val="000000"/>
        </w:rPr>
        <w:t>Phase 1 trial</w:t>
      </w:r>
      <w:r w:rsidR="00BE737A" w:rsidRPr="00BD6E85">
        <w:rPr>
          <w:rFonts w:ascii="Trebuchet MS" w:hAnsi="Trebuchet MS" w:cs="Arial"/>
          <w:color w:val="000000"/>
        </w:rPr>
        <w:t xml:space="preserve"> for </w:t>
      </w:r>
      <w:r w:rsidR="00130F6A" w:rsidRPr="00BD6E85">
        <w:rPr>
          <w:rFonts w:ascii="Trebuchet MS" w:hAnsi="Trebuchet MS" w:cs="Arial"/>
          <w:color w:val="000000"/>
        </w:rPr>
        <w:t>this disease</w:t>
      </w:r>
      <w:r w:rsidR="003011F8" w:rsidRPr="00BD6E85">
        <w:rPr>
          <w:rFonts w:ascii="Trebuchet MS" w:hAnsi="Trebuchet MS" w:cs="Arial"/>
          <w:color w:val="000000"/>
        </w:rPr>
        <w:t>.</w:t>
      </w:r>
      <w:r w:rsidRPr="00BD6E85">
        <w:rPr>
          <w:rFonts w:ascii="Trebuchet MS" w:hAnsi="Trebuchet MS" w:cs="Arial"/>
          <w:color w:val="000000"/>
        </w:rPr>
        <w:t xml:space="preserve"> </w:t>
      </w:r>
      <w:r w:rsidR="00B116DF" w:rsidRPr="00BD6E85">
        <w:rPr>
          <w:rFonts w:ascii="Trebuchet MS" w:hAnsi="Trebuchet MS" w:cs="Arial"/>
          <w:color w:val="000000"/>
        </w:rPr>
        <w:t xml:space="preserve"> </w:t>
      </w:r>
    </w:p>
    <w:p w:rsidR="005036FB" w:rsidRPr="00BD6E85" w:rsidRDefault="003011F8" w:rsidP="009C55CF">
      <w:pPr>
        <w:pStyle w:val="NormalWeb"/>
        <w:spacing w:after="240" w:afterAutospacing="0" w:line="276" w:lineRule="auto"/>
        <w:rPr>
          <w:rFonts w:ascii="Trebuchet MS" w:hAnsi="Trebuchet MS" w:cs="Arial"/>
          <w:color w:val="000000"/>
          <w:sz w:val="22"/>
          <w:szCs w:val="22"/>
        </w:rPr>
      </w:pPr>
      <w:r w:rsidRPr="00BD6E85">
        <w:rPr>
          <w:rFonts w:ascii="Trebuchet MS" w:hAnsi="Trebuchet MS" w:cs="Arial"/>
          <w:i/>
          <w:color w:val="000000"/>
          <w:sz w:val="22"/>
          <w:szCs w:val="22"/>
        </w:rPr>
        <w:t xml:space="preserve">3. </w:t>
      </w:r>
      <w:r w:rsidR="00F4516E" w:rsidRPr="00BD6E85">
        <w:rPr>
          <w:rFonts w:ascii="Trebuchet MS" w:hAnsi="Trebuchet MS" w:cs="Arial"/>
          <w:i/>
          <w:color w:val="000000"/>
          <w:sz w:val="22"/>
          <w:szCs w:val="22"/>
        </w:rPr>
        <w:t>Surrogate endpoints</w:t>
      </w:r>
      <w:r w:rsidR="007268B0" w:rsidRPr="00BD6E85">
        <w:rPr>
          <w:rFonts w:ascii="Trebuchet MS" w:hAnsi="Trebuchet MS"/>
          <w:sz w:val="22"/>
          <w:szCs w:val="22"/>
        </w:rPr>
        <w:t xml:space="preserve"> </w:t>
      </w:r>
      <w:r w:rsidR="004E6B29" w:rsidRPr="00BD6E85">
        <w:rPr>
          <w:rFonts w:ascii="Trebuchet MS" w:hAnsi="Trebuchet MS" w:cs="Arial"/>
          <w:sz w:val="22"/>
          <w:szCs w:val="22"/>
        </w:rPr>
        <w:t xml:space="preserve">are </w:t>
      </w:r>
      <w:r w:rsidR="005A6246" w:rsidRPr="00BD6E85">
        <w:rPr>
          <w:rFonts w:ascii="Trebuchet MS" w:hAnsi="Trebuchet MS" w:cs="Arial"/>
          <w:color w:val="2E2E2E"/>
          <w:sz w:val="22"/>
          <w:szCs w:val="22"/>
        </w:rPr>
        <w:t xml:space="preserve">indicators or signs used in place of a primary endpoint to tell if a treatment works. </w:t>
      </w:r>
      <w:r w:rsidR="009C55CF" w:rsidRPr="00BD6E85">
        <w:rPr>
          <w:rFonts w:ascii="Trebuchet MS" w:hAnsi="Trebuchet MS" w:cs="Arial"/>
          <w:color w:val="2E2E2E"/>
          <w:sz w:val="22"/>
          <w:szCs w:val="22"/>
        </w:rPr>
        <w:t>Today, t</w:t>
      </w:r>
      <w:r w:rsidR="005A6246" w:rsidRPr="00BD6E85">
        <w:rPr>
          <w:rFonts w:ascii="Trebuchet MS" w:hAnsi="Trebuchet MS" w:cs="Arial"/>
          <w:color w:val="2E2E2E"/>
          <w:sz w:val="22"/>
          <w:szCs w:val="22"/>
        </w:rPr>
        <w:t xml:space="preserve">he </w:t>
      </w:r>
      <w:r w:rsidR="004E6B29" w:rsidRPr="00BD6E85">
        <w:rPr>
          <w:rFonts w:ascii="Trebuchet MS" w:hAnsi="Trebuchet MS" w:cs="Arial"/>
          <w:color w:val="000000"/>
          <w:sz w:val="22"/>
          <w:szCs w:val="22"/>
        </w:rPr>
        <w:t xml:space="preserve">FDA says that surrogate endpoints </w:t>
      </w:r>
      <w:r w:rsidR="005A6246" w:rsidRPr="00BD6E85">
        <w:rPr>
          <w:rFonts w:ascii="Trebuchet MS" w:hAnsi="Trebuchet MS" w:cs="Arial"/>
          <w:color w:val="000000"/>
          <w:sz w:val="22"/>
          <w:szCs w:val="22"/>
        </w:rPr>
        <w:t>must demonstrate</w:t>
      </w:r>
      <w:r w:rsidR="004E6B29" w:rsidRPr="00BD6E85">
        <w:rPr>
          <w:rFonts w:ascii="Trebuchet MS" w:hAnsi="Trebuchet MS" w:cs="Arial"/>
          <w:color w:val="000000"/>
          <w:sz w:val="22"/>
          <w:szCs w:val="22"/>
        </w:rPr>
        <w:t xml:space="preserve"> a close connection to the primary endpoint or clinical benefit. The connection between surrogate and primary endpoints must be shown based on epidemiologic, therapeutic, path-physiologic, and similar evidence. Simple correlations between surrogate and primary endpoint data are not sufficient to establish a close connection.  </w:t>
      </w:r>
    </w:p>
    <w:p w:rsidR="00E1123A" w:rsidRPr="00BD6E85" w:rsidRDefault="005A6246" w:rsidP="00FE4BF3">
      <w:pPr>
        <w:spacing w:before="100" w:beforeAutospacing="1" w:after="240"/>
        <w:rPr>
          <w:rFonts w:ascii="Trebuchet MS" w:eastAsia="Times New Roman" w:hAnsi="Trebuchet MS" w:cs="Arial"/>
        </w:rPr>
      </w:pPr>
      <w:r w:rsidRPr="00BD6E85">
        <w:rPr>
          <w:rFonts w:ascii="Trebuchet MS" w:hAnsi="Trebuchet MS" w:cs="Arial"/>
          <w:color w:val="000000"/>
        </w:rPr>
        <w:t xml:space="preserve">Surrogate endpoints usually </w:t>
      </w:r>
      <w:r w:rsidR="00C34B71" w:rsidRPr="00BD6E85">
        <w:rPr>
          <w:rFonts w:ascii="Trebuchet MS" w:hAnsi="Trebuchet MS" w:cs="Arial"/>
          <w:color w:val="000000"/>
        </w:rPr>
        <w:t>involve</w:t>
      </w:r>
      <w:r w:rsidRPr="00BD6E85">
        <w:rPr>
          <w:rFonts w:ascii="Trebuchet MS" w:hAnsi="Trebuchet MS" w:cs="Arial"/>
          <w:color w:val="000000"/>
        </w:rPr>
        <w:t xml:space="preserve"> </w:t>
      </w:r>
      <w:r w:rsidRPr="00BD6E85">
        <w:rPr>
          <w:rFonts w:ascii="Trebuchet MS" w:hAnsi="Trebuchet MS" w:cs="Arial"/>
        </w:rPr>
        <w:t xml:space="preserve">behavioral </w:t>
      </w:r>
      <w:r w:rsidR="005036FB" w:rsidRPr="00BD6E85">
        <w:rPr>
          <w:rFonts w:ascii="Trebuchet MS" w:hAnsi="Trebuchet MS" w:cs="Arial"/>
        </w:rPr>
        <w:t>or</w:t>
      </w:r>
      <w:r w:rsidRPr="00BD6E85">
        <w:rPr>
          <w:rFonts w:ascii="Trebuchet MS" w:hAnsi="Trebuchet MS" w:cs="Arial"/>
        </w:rPr>
        <w:t xml:space="preserve"> cognitive scores</w:t>
      </w:r>
      <w:r w:rsidR="009C27EB">
        <w:rPr>
          <w:rFonts w:ascii="Trebuchet MS" w:hAnsi="Trebuchet MS" w:cs="Arial"/>
        </w:rPr>
        <w:t>;</w:t>
      </w:r>
      <w:r w:rsidRPr="00BD6E85">
        <w:rPr>
          <w:rFonts w:ascii="Trebuchet MS" w:hAnsi="Trebuchet MS" w:cs="Arial"/>
        </w:rPr>
        <w:t xml:space="preserve"> such tests as </w:t>
      </w:r>
      <w:r w:rsidR="00EB431C" w:rsidRPr="00BD6E85">
        <w:rPr>
          <w:rFonts w:ascii="Trebuchet MS" w:hAnsi="Trebuchet MS" w:cs="Arial"/>
        </w:rPr>
        <w:t>MRIs,</w:t>
      </w:r>
      <w:r w:rsidRPr="00BD6E85">
        <w:rPr>
          <w:rFonts w:ascii="Trebuchet MS" w:hAnsi="Trebuchet MS" w:cs="Arial"/>
        </w:rPr>
        <w:t xml:space="preserve"> mammograms</w:t>
      </w:r>
      <w:r w:rsidR="005036FB" w:rsidRPr="00BD6E85">
        <w:rPr>
          <w:rFonts w:ascii="Trebuchet MS" w:hAnsi="Trebuchet MS" w:cs="Arial"/>
        </w:rPr>
        <w:t>, and electrocardiograms</w:t>
      </w:r>
      <w:r w:rsidR="009C27EB">
        <w:rPr>
          <w:rFonts w:ascii="Trebuchet MS" w:hAnsi="Trebuchet MS" w:cs="Arial"/>
        </w:rPr>
        <w:t>,</w:t>
      </w:r>
      <w:r w:rsidR="00EB431C" w:rsidRPr="00BD6E85">
        <w:rPr>
          <w:rFonts w:ascii="Trebuchet MS" w:hAnsi="Trebuchet MS" w:cs="Arial"/>
        </w:rPr>
        <w:t xml:space="preserve"> </w:t>
      </w:r>
      <w:r w:rsidR="001855BB">
        <w:rPr>
          <w:rFonts w:ascii="Trebuchet MS" w:hAnsi="Trebuchet MS" w:cs="Arial"/>
        </w:rPr>
        <w:t>b</w:t>
      </w:r>
      <w:r w:rsidR="00EB431C" w:rsidRPr="00BD6E85">
        <w:rPr>
          <w:rFonts w:ascii="Trebuchet MS" w:hAnsi="Trebuchet MS" w:cs="Arial"/>
        </w:rPr>
        <w:t>ut</w:t>
      </w:r>
      <w:r w:rsidR="00E1123A" w:rsidRPr="00BD6E85">
        <w:rPr>
          <w:rFonts w:ascii="Trebuchet MS" w:hAnsi="Trebuchet MS" w:cs="Arial"/>
        </w:rPr>
        <w:t xml:space="preserve"> </w:t>
      </w:r>
      <w:r w:rsidR="001855BB">
        <w:rPr>
          <w:rFonts w:ascii="Trebuchet MS" w:hAnsi="Trebuchet MS" w:cs="Arial"/>
        </w:rPr>
        <w:t xml:space="preserve">rarely </w:t>
      </w:r>
      <w:r w:rsidR="00721A92" w:rsidRPr="00BD6E85">
        <w:rPr>
          <w:rFonts w:ascii="Trebuchet MS" w:hAnsi="Trebuchet MS" w:cs="Arial"/>
        </w:rPr>
        <w:t>biological biomarkers</w:t>
      </w:r>
      <w:r w:rsidR="00EB431C" w:rsidRPr="00BD6E85">
        <w:rPr>
          <w:rFonts w:ascii="Trebuchet MS" w:hAnsi="Trebuchet MS" w:cs="Arial"/>
        </w:rPr>
        <w:t>.</w:t>
      </w:r>
      <w:r w:rsidR="00E1123A" w:rsidRPr="00BD6E85">
        <w:rPr>
          <w:rFonts w:ascii="Trebuchet MS" w:hAnsi="Trebuchet MS" w:cs="Arial"/>
        </w:rPr>
        <w:t xml:space="preserve"> </w:t>
      </w:r>
    </w:p>
    <w:p w:rsidR="00270DED" w:rsidRPr="00BD6E85" w:rsidRDefault="00270DED" w:rsidP="005A2445">
      <w:pPr>
        <w:pStyle w:val="NormalWeb"/>
        <w:rPr>
          <w:rFonts w:ascii="Trebuchet MS" w:hAnsi="Trebuchet MS" w:cs="Arial"/>
          <w:sz w:val="22"/>
          <w:szCs w:val="22"/>
        </w:rPr>
      </w:pPr>
      <w:r w:rsidRPr="00BD6E85">
        <w:rPr>
          <w:rFonts w:ascii="Trebuchet MS" w:hAnsi="Trebuchet MS" w:cs="Arial"/>
          <w:sz w:val="22"/>
          <w:szCs w:val="22"/>
        </w:rPr>
        <w:t xml:space="preserve">An example of a </w:t>
      </w:r>
      <w:r w:rsidR="00C522DC" w:rsidRPr="00BD6E85">
        <w:rPr>
          <w:rFonts w:ascii="Trebuchet MS" w:hAnsi="Trebuchet MS" w:cs="Arial"/>
          <w:sz w:val="22"/>
          <w:szCs w:val="22"/>
        </w:rPr>
        <w:t>po</w:t>
      </w:r>
      <w:r w:rsidR="00804458" w:rsidRPr="00BD6E85">
        <w:rPr>
          <w:rFonts w:ascii="Trebuchet MS" w:hAnsi="Trebuchet MS" w:cs="Arial"/>
          <w:sz w:val="22"/>
          <w:szCs w:val="22"/>
        </w:rPr>
        <w:t>tential</w:t>
      </w:r>
      <w:r w:rsidR="00C522DC" w:rsidRPr="00BD6E85">
        <w:rPr>
          <w:rFonts w:ascii="Trebuchet MS" w:hAnsi="Trebuchet MS" w:cs="Arial"/>
          <w:sz w:val="22"/>
          <w:szCs w:val="22"/>
        </w:rPr>
        <w:t xml:space="preserve"> </w:t>
      </w:r>
      <w:r w:rsidRPr="00BD6E85">
        <w:rPr>
          <w:rFonts w:ascii="Trebuchet MS" w:hAnsi="Trebuchet MS" w:cs="Arial"/>
          <w:sz w:val="22"/>
          <w:szCs w:val="22"/>
        </w:rPr>
        <w:t xml:space="preserve">surrogate endpoint for APBD </w:t>
      </w:r>
      <w:r w:rsidR="00610A32" w:rsidRPr="00BD6E85">
        <w:rPr>
          <w:rFonts w:ascii="Trebuchet MS" w:hAnsi="Trebuchet MS" w:cs="Arial"/>
          <w:sz w:val="22"/>
          <w:szCs w:val="22"/>
        </w:rPr>
        <w:t xml:space="preserve">might be </w:t>
      </w:r>
      <w:r w:rsidR="00804458" w:rsidRPr="00BD6E85">
        <w:rPr>
          <w:rFonts w:ascii="Trebuchet MS" w:hAnsi="Trebuchet MS" w:cs="Arial"/>
          <w:sz w:val="22"/>
          <w:szCs w:val="22"/>
        </w:rPr>
        <w:t xml:space="preserve">certain </w:t>
      </w:r>
      <w:r w:rsidR="00C522DC" w:rsidRPr="00BD6E85">
        <w:rPr>
          <w:rFonts w:ascii="Trebuchet MS" w:hAnsi="Trebuchet MS" w:cs="Arial"/>
          <w:sz w:val="22"/>
          <w:szCs w:val="22"/>
        </w:rPr>
        <w:t>brain and spine magnetic resonance images.</w:t>
      </w:r>
      <w:r w:rsidR="00610A32" w:rsidRPr="00BD6E85">
        <w:rPr>
          <w:rFonts w:ascii="Trebuchet MS" w:hAnsi="Trebuchet MS" w:cs="Arial"/>
          <w:sz w:val="22"/>
          <w:szCs w:val="22"/>
        </w:rPr>
        <w:t xml:space="preserve"> </w:t>
      </w:r>
      <w:r w:rsidR="005036FB" w:rsidRPr="00BD6E85">
        <w:rPr>
          <w:rFonts w:ascii="Trebuchet MS" w:hAnsi="Trebuchet MS" w:cs="Arial"/>
          <w:sz w:val="22"/>
          <w:szCs w:val="22"/>
        </w:rPr>
        <w:t xml:space="preserve"> </w:t>
      </w:r>
    </w:p>
    <w:p w:rsidR="004E6B29" w:rsidRPr="00BD6E85" w:rsidRDefault="00C34B71" w:rsidP="005A2445">
      <w:pPr>
        <w:pStyle w:val="NormalWeb"/>
        <w:rPr>
          <w:rFonts w:ascii="Trebuchet MS" w:hAnsi="Trebuchet MS" w:cs="Arial"/>
          <w:b/>
          <w:color w:val="2E2E2E"/>
          <w:sz w:val="22"/>
          <w:szCs w:val="22"/>
        </w:rPr>
      </w:pPr>
      <w:r w:rsidRPr="00BD6E85">
        <w:rPr>
          <w:rFonts w:ascii="Trebuchet MS" w:hAnsi="Trebuchet MS" w:cs="Arial"/>
          <w:b/>
          <w:color w:val="2E2E2E"/>
          <w:sz w:val="22"/>
          <w:szCs w:val="22"/>
        </w:rPr>
        <w:t>Why d</w:t>
      </w:r>
      <w:r w:rsidR="00230495" w:rsidRPr="00BD6E85">
        <w:rPr>
          <w:rFonts w:ascii="Trebuchet MS" w:hAnsi="Trebuchet MS" w:cs="Arial"/>
          <w:b/>
          <w:color w:val="2E2E2E"/>
          <w:sz w:val="22"/>
          <w:szCs w:val="22"/>
        </w:rPr>
        <w:t>o</w:t>
      </w:r>
      <w:r w:rsidRPr="00BD6E85">
        <w:rPr>
          <w:rFonts w:ascii="Trebuchet MS" w:hAnsi="Trebuchet MS" w:cs="Arial"/>
          <w:b/>
          <w:color w:val="2E2E2E"/>
          <w:sz w:val="22"/>
          <w:szCs w:val="22"/>
        </w:rPr>
        <w:t xml:space="preserve"> some rare disease investigators want to </w:t>
      </w:r>
      <w:r w:rsidR="00F87FA6" w:rsidRPr="00BD6E85">
        <w:rPr>
          <w:rFonts w:ascii="Trebuchet MS" w:hAnsi="Trebuchet MS" w:cs="Arial"/>
          <w:b/>
          <w:color w:val="2E2E2E"/>
          <w:sz w:val="22"/>
          <w:szCs w:val="22"/>
        </w:rPr>
        <w:t xml:space="preserve">advance the </w:t>
      </w:r>
      <w:r w:rsidRPr="00BD6E85">
        <w:rPr>
          <w:rFonts w:ascii="Trebuchet MS" w:hAnsi="Trebuchet MS" w:cs="Arial"/>
          <w:b/>
          <w:color w:val="2E2E2E"/>
          <w:sz w:val="22"/>
          <w:szCs w:val="22"/>
        </w:rPr>
        <w:t xml:space="preserve">use </w:t>
      </w:r>
      <w:r w:rsidR="00F87FA6" w:rsidRPr="00BD6E85">
        <w:rPr>
          <w:rFonts w:ascii="Trebuchet MS" w:hAnsi="Trebuchet MS" w:cs="Arial"/>
          <w:b/>
          <w:color w:val="2E2E2E"/>
          <w:sz w:val="22"/>
          <w:szCs w:val="22"/>
        </w:rPr>
        <w:t xml:space="preserve">of </w:t>
      </w:r>
      <w:r w:rsidRPr="00BD6E85">
        <w:rPr>
          <w:rFonts w:ascii="Trebuchet MS" w:hAnsi="Trebuchet MS" w:cs="Arial"/>
          <w:b/>
          <w:color w:val="2E2E2E"/>
          <w:sz w:val="22"/>
          <w:szCs w:val="22"/>
        </w:rPr>
        <w:t>biological biomarkers as endpoints?</w:t>
      </w:r>
    </w:p>
    <w:p w:rsidR="001A7217" w:rsidRPr="00BD6E85" w:rsidRDefault="00F874DB" w:rsidP="001A7217">
      <w:pPr>
        <w:autoSpaceDE w:val="0"/>
        <w:autoSpaceDN w:val="0"/>
        <w:adjustRightInd w:val="0"/>
        <w:spacing w:after="240"/>
        <w:rPr>
          <w:rFonts w:ascii="Trebuchet MS" w:hAnsi="Trebuchet MS" w:cs="Arial"/>
        </w:rPr>
      </w:pPr>
      <w:r w:rsidRPr="00BD6E85">
        <w:rPr>
          <w:rFonts w:ascii="Trebuchet MS" w:hAnsi="Trebuchet MS" w:cs="Arial"/>
          <w:color w:val="000000"/>
        </w:rPr>
        <w:t xml:space="preserve">In 2015, Dr. </w:t>
      </w:r>
      <w:r w:rsidR="00323754">
        <w:rPr>
          <w:rFonts w:ascii="Trebuchet MS" w:hAnsi="Trebuchet MS" w:cs="Arial"/>
          <w:color w:val="000000"/>
        </w:rPr>
        <w:t xml:space="preserve">Emil </w:t>
      </w:r>
      <w:r w:rsidRPr="00BD6E85">
        <w:rPr>
          <w:rFonts w:ascii="Trebuchet MS" w:hAnsi="Trebuchet MS" w:cs="Arial"/>
          <w:color w:val="000000"/>
        </w:rPr>
        <w:t>Khakis</w:t>
      </w:r>
      <w:r w:rsidRPr="00BD6E85">
        <w:rPr>
          <w:rFonts w:ascii="Trebuchet MS" w:hAnsi="Trebuchet MS" w:cs="Arial"/>
          <w:b/>
          <w:i/>
          <w:color w:val="000000"/>
        </w:rPr>
        <w:t xml:space="preserve"> </w:t>
      </w:r>
      <w:r w:rsidR="00D47FBD">
        <w:rPr>
          <w:rFonts w:ascii="Trebuchet MS" w:hAnsi="Trebuchet MS" w:cs="Arial"/>
          <w:b/>
          <w:i/>
          <w:color w:val="000000"/>
        </w:rPr>
        <w:t xml:space="preserve">(now president and CEO of Ultrangenyx) </w:t>
      </w:r>
      <w:r w:rsidRPr="00BD6E85">
        <w:rPr>
          <w:rFonts w:ascii="Trebuchet MS" w:hAnsi="Trebuchet MS" w:cs="Arial"/>
          <w:color w:val="000000"/>
        </w:rPr>
        <w:t xml:space="preserve">advanced the idea of qualifying biological biomarkers </w:t>
      </w:r>
      <w:r w:rsidR="00F87FA6" w:rsidRPr="00BD6E85">
        <w:rPr>
          <w:rFonts w:ascii="Trebuchet MS" w:hAnsi="Trebuchet MS" w:cs="Arial"/>
          <w:color w:val="000000"/>
        </w:rPr>
        <w:t xml:space="preserve">to </w:t>
      </w:r>
      <w:r w:rsidRPr="00BD6E85">
        <w:rPr>
          <w:rFonts w:ascii="Trebuchet MS" w:hAnsi="Trebuchet MS" w:cs="Arial"/>
          <w:color w:val="000000"/>
        </w:rPr>
        <w:t>serv</w:t>
      </w:r>
      <w:r w:rsidR="00F87FA6" w:rsidRPr="00BD6E85">
        <w:rPr>
          <w:rFonts w:ascii="Trebuchet MS" w:hAnsi="Trebuchet MS" w:cs="Arial"/>
          <w:color w:val="000000"/>
        </w:rPr>
        <w:t>e</w:t>
      </w:r>
      <w:r w:rsidR="00D47FBD">
        <w:rPr>
          <w:rFonts w:ascii="Trebuchet MS" w:hAnsi="Trebuchet MS" w:cs="Arial"/>
          <w:color w:val="000000"/>
        </w:rPr>
        <w:t xml:space="preserve"> as </w:t>
      </w:r>
      <w:r w:rsidRPr="00BD6E85">
        <w:rPr>
          <w:rFonts w:ascii="Trebuchet MS" w:hAnsi="Trebuchet MS" w:cs="Arial"/>
          <w:color w:val="000000"/>
        </w:rPr>
        <w:t>endpoints in rare disease clinical trials</w:t>
      </w:r>
      <w:r w:rsidR="001A7217" w:rsidRPr="00BD6E85">
        <w:rPr>
          <w:rFonts w:ascii="Trebuchet MS" w:hAnsi="Trebuchet MS" w:cs="Arial"/>
          <w:color w:val="000000"/>
        </w:rPr>
        <w:t xml:space="preserve"> (source: </w:t>
      </w:r>
      <w:proofErr w:type="spellStart"/>
      <w:r w:rsidR="001A7217" w:rsidRPr="00BD6E85">
        <w:rPr>
          <w:rFonts w:ascii="Trebuchet MS" w:hAnsi="Trebuchet MS" w:cs="Arial"/>
        </w:rPr>
        <w:t>Kakkis</w:t>
      </w:r>
      <w:proofErr w:type="spellEnd"/>
      <w:r w:rsidR="001A7217" w:rsidRPr="00BD6E85">
        <w:rPr>
          <w:rFonts w:ascii="Trebuchet MS" w:hAnsi="Trebuchet MS" w:cs="Arial"/>
        </w:rPr>
        <w:t>, E. and others</w:t>
      </w:r>
      <w:r w:rsidR="001A7217" w:rsidRPr="00BD6E85">
        <w:rPr>
          <w:rFonts w:ascii="Trebuchet MS" w:hAnsi="Trebuchet MS" w:cs="Arial"/>
          <w:i/>
        </w:rPr>
        <w:t xml:space="preserve">, Recommendations for the Development of Rare Disease Drugs Using the Accelerated Approval Pathway and for Qualifying Bio-markers as Primary Endpoints, </w:t>
      </w:r>
      <w:proofErr w:type="spellStart"/>
      <w:r w:rsidR="001A7217" w:rsidRPr="00BD6E85">
        <w:rPr>
          <w:rFonts w:ascii="Trebuchet MS" w:hAnsi="Trebuchet MS" w:cs="Arial"/>
        </w:rPr>
        <w:t>Orphanet</w:t>
      </w:r>
      <w:proofErr w:type="spellEnd"/>
      <w:r w:rsidR="001A7217" w:rsidRPr="00BD6E85">
        <w:rPr>
          <w:rFonts w:ascii="Trebuchet MS" w:hAnsi="Trebuchet MS" w:cs="Arial"/>
        </w:rPr>
        <w:t xml:space="preserve"> Journal of Diseases, 2015.)</w:t>
      </w:r>
      <w:r w:rsidR="00804458" w:rsidRPr="00BD6E85">
        <w:rPr>
          <w:rFonts w:ascii="Trebuchet MS" w:hAnsi="Trebuchet MS" w:cs="Arial"/>
        </w:rPr>
        <w:t xml:space="preserve"> </w:t>
      </w:r>
    </w:p>
    <w:p w:rsidR="00F874DB" w:rsidRPr="00BD6E85" w:rsidRDefault="00F874DB" w:rsidP="00F874DB">
      <w:pPr>
        <w:autoSpaceDE w:val="0"/>
        <w:autoSpaceDN w:val="0"/>
        <w:adjustRightInd w:val="0"/>
        <w:spacing w:after="240"/>
        <w:rPr>
          <w:rFonts w:ascii="Trebuchet MS" w:hAnsi="Trebuchet MS" w:cs="Arial"/>
          <w:color w:val="000000"/>
        </w:rPr>
      </w:pPr>
      <w:r w:rsidRPr="00BD6E85">
        <w:rPr>
          <w:rFonts w:ascii="Trebuchet MS" w:hAnsi="Trebuchet MS" w:cs="Arial"/>
          <w:color w:val="000000"/>
        </w:rPr>
        <w:t>He advanced this idea because rare disease treatments/cures are hampered by “small</w:t>
      </w:r>
      <w:r w:rsidRPr="00BD6E85">
        <w:rPr>
          <w:rFonts w:ascii="Trebuchet MS" w:hAnsi="Trebuchet MS" w:cs="Arial"/>
        </w:rPr>
        <w:t xml:space="preserve"> heterogeneous patient populations, long time-frames for disease progression, a poor understanding of disease natural history, and a lack of prior clinical studies.</w:t>
      </w:r>
      <w:r w:rsidRPr="00BD6E85">
        <w:rPr>
          <w:rFonts w:ascii="Trebuchet MS" w:hAnsi="Trebuchet MS" w:cs="Arial"/>
          <w:color w:val="000000"/>
        </w:rPr>
        <w:t xml:space="preserve"> But r</w:t>
      </w:r>
      <w:r w:rsidRPr="00BD6E85">
        <w:rPr>
          <w:rFonts w:ascii="Trebuchet MS" w:hAnsi="Trebuchet MS" w:cs="Arial"/>
        </w:rPr>
        <w:t>ecent advance in medical science has enhanced the understanding of these rare disorders at the biochemical level, offering more therapeutic options.</w:t>
      </w:r>
      <w:r w:rsidR="005D17D1" w:rsidRPr="00BD6E85">
        <w:rPr>
          <w:rFonts w:ascii="Trebuchet MS" w:hAnsi="Trebuchet MS" w:cs="Arial"/>
        </w:rPr>
        <w:t>”</w:t>
      </w:r>
      <w:r w:rsidRPr="00BD6E85">
        <w:rPr>
          <w:rFonts w:ascii="Trebuchet MS" w:hAnsi="Trebuchet MS" w:cs="Arial"/>
          <w:color w:val="000000"/>
        </w:rPr>
        <w:t xml:space="preserve"> However, </w:t>
      </w:r>
      <w:r w:rsidRPr="00BD6E85">
        <w:rPr>
          <w:rFonts w:ascii="Trebuchet MS" w:hAnsi="Trebuchet MS" w:cs="Arial"/>
        </w:rPr>
        <w:t>if prior clinical data is lacking to support the predictive value of a biological biomarker, then that biomarker most likely would not qualify as a</w:t>
      </w:r>
      <w:r w:rsidR="003D0971" w:rsidRPr="00BD6E85">
        <w:rPr>
          <w:rFonts w:ascii="Trebuchet MS" w:hAnsi="Trebuchet MS" w:cs="Arial"/>
        </w:rPr>
        <w:t>n</w:t>
      </w:r>
      <w:r w:rsidRPr="00BD6E85">
        <w:rPr>
          <w:rFonts w:ascii="Trebuchet MS" w:hAnsi="Trebuchet MS" w:cs="Arial"/>
        </w:rPr>
        <w:t xml:space="preserve"> endpoint</w:t>
      </w:r>
      <w:r w:rsidR="001A7217" w:rsidRPr="00BD6E85">
        <w:rPr>
          <w:rFonts w:ascii="Trebuchet MS" w:hAnsi="Trebuchet MS" w:cs="Arial"/>
        </w:rPr>
        <w:t xml:space="preserve"> (</w:t>
      </w:r>
      <w:r w:rsidR="003D0971" w:rsidRPr="00BD6E85">
        <w:rPr>
          <w:rFonts w:ascii="Trebuchet MS" w:hAnsi="Trebuchet MS" w:cs="Arial"/>
        </w:rPr>
        <w:t xml:space="preserve">a surrogate </w:t>
      </w:r>
      <w:r w:rsidR="00084145" w:rsidRPr="00BD6E85">
        <w:rPr>
          <w:rFonts w:ascii="Trebuchet MS" w:hAnsi="Trebuchet MS" w:cs="Arial"/>
        </w:rPr>
        <w:t xml:space="preserve">endpoint </w:t>
      </w:r>
      <w:r w:rsidR="003D0971" w:rsidRPr="00BD6E85">
        <w:rPr>
          <w:rFonts w:ascii="Trebuchet MS" w:hAnsi="Trebuchet MS" w:cs="Arial"/>
        </w:rPr>
        <w:t xml:space="preserve">according to </w:t>
      </w:r>
      <w:r w:rsidR="00804458" w:rsidRPr="00BD6E85">
        <w:rPr>
          <w:rFonts w:ascii="Trebuchet MS" w:hAnsi="Trebuchet MS" w:cs="Arial"/>
        </w:rPr>
        <w:t xml:space="preserve">current </w:t>
      </w:r>
      <w:r w:rsidR="003D0971" w:rsidRPr="00BD6E85">
        <w:rPr>
          <w:rFonts w:ascii="Trebuchet MS" w:hAnsi="Trebuchet MS" w:cs="Arial"/>
        </w:rPr>
        <w:t>FDA definition</w:t>
      </w:r>
      <w:r w:rsidR="001855BB">
        <w:rPr>
          <w:rFonts w:ascii="Trebuchet MS" w:hAnsi="Trebuchet MS" w:cs="Arial"/>
        </w:rPr>
        <w:t>s).</w:t>
      </w:r>
    </w:p>
    <w:p w:rsidR="00B35E46" w:rsidRPr="00BD6E85" w:rsidRDefault="00B35E46" w:rsidP="00B35E46">
      <w:pPr>
        <w:spacing w:before="100" w:beforeAutospacing="1" w:after="240"/>
        <w:rPr>
          <w:rFonts w:ascii="Trebuchet MS" w:eastAsia="Times New Roman" w:hAnsi="Trebuchet MS" w:cs="Arial"/>
        </w:rPr>
      </w:pPr>
      <w:r w:rsidRPr="00BD6E85">
        <w:rPr>
          <w:rFonts w:ascii="Trebuchet MS" w:hAnsi="Trebuchet MS" w:cs="Arial"/>
        </w:rPr>
        <w:t xml:space="preserve">Dr, Khakis cites the case of a biological biomarker </w:t>
      </w:r>
      <w:r w:rsidR="001855BB">
        <w:rPr>
          <w:rFonts w:ascii="Trebuchet MS" w:hAnsi="Trebuchet MS" w:cs="Arial"/>
        </w:rPr>
        <w:t xml:space="preserve">that was </w:t>
      </w:r>
      <w:r w:rsidRPr="00BD6E85">
        <w:rPr>
          <w:rFonts w:ascii="Trebuchet MS" w:hAnsi="Trebuchet MS" w:cs="Arial"/>
        </w:rPr>
        <w:t xml:space="preserve">successfully approved as </w:t>
      </w:r>
      <w:r w:rsidR="001855BB" w:rsidRPr="00BD6E85">
        <w:rPr>
          <w:rFonts w:ascii="Trebuchet MS" w:hAnsi="Trebuchet MS" w:cs="Arial"/>
        </w:rPr>
        <w:t>a surrogate</w:t>
      </w:r>
      <w:r w:rsidRPr="00BD6E85">
        <w:rPr>
          <w:rFonts w:ascii="Trebuchet MS" w:hAnsi="Trebuchet MS" w:cs="Arial"/>
        </w:rPr>
        <w:t xml:space="preserve"> endpoint for </w:t>
      </w:r>
      <w:r w:rsidRPr="00BD6E85">
        <w:rPr>
          <w:rFonts w:ascii="Trebuchet MS" w:eastAsia="Times New Roman" w:hAnsi="Trebuchet MS" w:cs="Arial"/>
        </w:rPr>
        <w:t xml:space="preserve">alpha-1-antitrypsin deficiency disease. And those investigators demonstrated the reasonable restoration of blood levels even without direct proof of affecting the tissue level. </w:t>
      </w:r>
    </w:p>
    <w:p w:rsidR="00270DED" w:rsidRPr="002145DB" w:rsidRDefault="00270DED" w:rsidP="00B03E3D">
      <w:pPr>
        <w:pStyle w:val="para"/>
        <w:spacing w:after="240" w:line="276" w:lineRule="auto"/>
        <w:rPr>
          <w:rFonts w:ascii="Arial" w:hAnsi="Arial" w:cs="Arial"/>
          <w:color w:val="333333"/>
        </w:rPr>
      </w:pPr>
      <w:r w:rsidRPr="00270DED">
        <w:rPr>
          <w:rFonts w:ascii="Arial" w:hAnsi="Arial" w:cs="Arial"/>
          <w:color w:val="333333"/>
        </w:rPr>
        <w:t xml:space="preserve"> </w:t>
      </w:r>
      <w:r>
        <w:rPr>
          <w:rFonts w:ascii="Helvetica" w:hAnsi="Helvetica" w:cs="Helvetica"/>
          <w:color w:val="333333"/>
          <w:sz w:val="19"/>
          <w:szCs w:val="19"/>
        </w:rPr>
        <w:t xml:space="preserve"> </w:t>
      </w:r>
    </w:p>
    <w:p w:rsidR="00C34B71" w:rsidRDefault="00C34B71" w:rsidP="007268B0">
      <w:pPr>
        <w:pStyle w:val="NormalWeb"/>
      </w:pPr>
    </w:p>
    <w:sectPr w:rsidR="00C34B71" w:rsidSect="008B73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EEB" w:rsidRDefault="00894EEB" w:rsidP="00D46EA7">
      <w:pPr>
        <w:spacing w:after="0" w:line="240" w:lineRule="auto"/>
      </w:pPr>
      <w:r>
        <w:separator/>
      </w:r>
    </w:p>
  </w:endnote>
  <w:endnote w:type="continuationSeparator" w:id="0">
    <w:p w:rsidR="00894EEB" w:rsidRDefault="00894EEB" w:rsidP="00D46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EEB" w:rsidRDefault="00894EEB" w:rsidP="00D46EA7">
      <w:pPr>
        <w:spacing w:after="0" w:line="240" w:lineRule="auto"/>
      </w:pPr>
      <w:r>
        <w:separator/>
      </w:r>
    </w:p>
  </w:footnote>
  <w:footnote w:type="continuationSeparator" w:id="0">
    <w:p w:rsidR="00894EEB" w:rsidRDefault="00894EEB" w:rsidP="00D46E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2380A"/>
    <w:multiLevelType w:val="hybridMultilevel"/>
    <w:tmpl w:val="44C800E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3128A"/>
    <w:rsid w:val="00012CA5"/>
    <w:rsid w:val="00040F9A"/>
    <w:rsid w:val="00084145"/>
    <w:rsid w:val="000908DB"/>
    <w:rsid w:val="000A7678"/>
    <w:rsid w:val="000B29BD"/>
    <w:rsid w:val="000C14FE"/>
    <w:rsid w:val="00130F6A"/>
    <w:rsid w:val="00137816"/>
    <w:rsid w:val="00144886"/>
    <w:rsid w:val="00146280"/>
    <w:rsid w:val="00171AF6"/>
    <w:rsid w:val="001855BB"/>
    <w:rsid w:val="001A113F"/>
    <w:rsid w:val="001A7217"/>
    <w:rsid w:val="001D43D6"/>
    <w:rsid w:val="002145DB"/>
    <w:rsid w:val="00227146"/>
    <w:rsid w:val="00230495"/>
    <w:rsid w:val="00270DED"/>
    <w:rsid w:val="002771B3"/>
    <w:rsid w:val="002A328D"/>
    <w:rsid w:val="002F1D2F"/>
    <w:rsid w:val="002F5568"/>
    <w:rsid w:val="003011F8"/>
    <w:rsid w:val="00321233"/>
    <w:rsid w:val="00323754"/>
    <w:rsid w:val="00333580"/>
    <w:rsid w:val="0035776A"/>
    <w:rsid w:val="00391E58"/>
    <w:rsid w:val="003A1347"/>
    <w:rsid w:val="003C67BA"/>
    <w:rsid w:val="003D0971"/>
    <w:rsid w:val="003E79CB"/>
    <w:rsid w:val="00445B55"/>
    <w:rsid w:val="00466BD4"/>
    <w:rsid w:val="00484EB4"/>
    <w:rsid w:val="00486AE5"/>
    <w:rsid w:val="00493D9B"/>
    <w:rsid w:val="004C2FCA"/>
    <w:rsid w:val="004C5433"/>
    <w:rsid w:val="004E6B29"/>
    <w:rsid w:val="005036FB"/>
    <w:rsid w:val="00515251"/>
    <w:rsid w:val="005157EC"/>
    <w:rsid w:val="0052094A"/>
    <w:rsid w:val="0053128A"/>
    <w:rsid w:val="00584C9B"/>
    <w:rsid w:val="00586F87"/>
    <w:rsid w:val="005A2445"/>
    <w:rsid w:val="005A46E1"/>
    <w:rsid w:val="005A5F44"/>
    <w:rsid w:val="005A6246"/>
    <w:rsid w:val="005B6645"/>
    <w:rsid w:val="005C3339"/>
    <w:rsid w:val="005D17D1"/>
    <w:rsid w:val="00610A32"/>
    <w:rsid w:val="006939DF"/>
    <w:rsid w:val="00701846"/>
    <w:rsid w:val="00704796"/>
    <w:rsid w:val="00721A92"/>
    <w:rsid w:val="007268B0"/>
    <w:rsid w:val="00734A2A"/>
    <w:rsid w:val="00755B37"/>
    <w:rsid w:val="007941A8"/>
    <w:rsid w:val="007A5AE7"/>
    <w:rsid w:val="007B3D78"/>
    <w:rsid w:val="007C05E4"/>
    <w:rsid w:val="00804458"/>
    <w:rsid w:val="008129AF"/>
    <w:rsid w:val="00843214"/>
    <w:rsid w:val="008611CF"/>
    <w:rsid w:val="008838CA"/>
    <w:rsid w:val="00894EEB"/>
    <w:rsid w:val="008B503D"/>
    <w:rsid w:val="008B7315"/>
    <w:rsid w:val="009430F8"/>
    <w:rsid w:val="009A0D0E"/>
    <w:rsid w:val="009C1180"/>
    <w:rsid w:val="009C27EB"/>
    <w:rsid w:val="009C55CF"/>
    <w:rsid w:val="00A05F06"/>
    <w:rsid w:val="00A439F6"/>
    <w:rsid w:val="00A85D34"/>
    <w:rsid w:val="00A901F3"/>
    <w:rsid w:val="00A9370D"/>
    <w:rsid w:val="00AB50B8"/>
    <w:rsid w:val="00AF2468"/>
    <w:rsid w:val="00AF2B04"/>
    <w:rsid w:val="00B03E3D"/>
    <w:rsid w:val="00B05885"/>
    <w:rsid w:val="00B116DF"/>
    <w:rsid w:val="00B35E46"/>
    <w:rsid w:val="00B35F29"/>
    <w:rsid w:val="00B95D39"/>
    <w:rsid w:val="00BC5E8D"/>
    <w:rsid w:val="00BD6E85"/>
    <w:rsid w:val="00BE737A"/>
    <w:rsid w:val="00C30308"/>
    <w:rsid w:val="00C34B71"/>
    <w:rsid w:val="00C522DC"/>
    <w:rsid w:val="00C967A4"/>
    <w:rsid w:val="00CB3452"/>
    <w:rsid w:val="00CD6197"/>
    <w:rsid w:val="00CE4E62"/>
    <w:rsid w:val="00D00E4D"/>
    <w:rsid w:val="00D03D09"/>
    <w:rsid w:val="00D16390"/>
    <w:rsid w:val="00D4259C"/>
    <w:rsid w:val="00D46EA7"/>
    <w:rsid w:val="00D47FBD"/>
    <w:rsid w:val="00D9077D"/>
    <w:rsid w:val="00D92DEF"/>
    <w:rsid w:val="00DC3947"/>
    <w:rsid w:val="00DD31CA"/>
    <w:rsid w:val="00DD42FB"/>
    <w:rsid w:val="00DD56A5"/>
    <w:rsid w:val="00E1123A"/>
    <w:rsid w:val="00E51EC1"/>
    <w:rsid w:val="00E555D3"/>
    <w:rsid w:val="00E91CA5"/>
    <w:rsid w:val="00E91FFE"/>
    <w:rsid w:val="00E92539"/>
    <w:rsid w:val="00EA159A"/>
    <w:rsid w:val="00EB2D9C"/>
    <w:rsid w:val="00EB431C"/>
    <w:rsid w:val="00EC63DE"/>
    <w:rsid w:val="00F00282"/>
    <w:rsid w:val="00F072BF"/>
    <w:rsid w:val="00F4516E"/>
    <w:rsid w:val="00F874DB"/>
    <w:rsid w:val="00F87FA6"/>
    <w:rsid w:val="00FA63F8"/>
    <w:rsid w:val="00FC6783"/>
    <w:rsid w:val="00FE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3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6EA7"/>
    <w:pPr>
      <w:spacing w:after="0" w:line="240" w:lineRule="auto"/>
    </w:pPr>
    <w:rPr>
      <w:sz w:val="20"/>
      <w:szCs w:val="20"/>
    </w:rPr>
  </w:style>
  <w:style w:type="character" w:customStyle="1" w:styleId="FootnoteTextChar">
    <w:name w:val="Footnote Text Char"/>
    <w:basedOn w:val="DefaultParagraphFont"/>
    <w:link w:val="FootnoteText"/>
    <w:uiPriority w:val="99"/>
    <w:rsid w:val="00D46EA7"/>
    <w:rPr>
      <w:sz w:val="20"/>
      <w:szCs w:val="20"/>
    </w:rPr>
  </w:style>
  <w:style w:type="character" w:styleId="FootnoteReference">
    <w:name w:val="footnote reference"/>
    <w:basedOn w:val="DefaultParagraphFont"/>
    <w:uiPriority w:val="99"/>
    <w:semiHidden/>
    <w:unhideWhenUsed/>
    <w:rsid w:val="00D46EA7"/>
    <w:rPr>
      <w:vertAlign w:val="superscript"/>
    </w:rPr>
  </w:style>
  <w:style w:type="character" w:styleId="Hyperlink">
    <w:name w:val="Hyperlink"/>
    <w:basedOn w:val="DefaultParagraphFont"/>
    <w:uiPriority w:val="99"/>
    <w:semiHidden/>
    <w:unhideWhenUsed/>
    <w:rsid w:val="007268B0"/>
    <w:rPr>
      <w:color w:val="0000FF"/>
      <w:u w:val="single"/>
    </w:rPr>
  </w:style>
  <w:style w:type="paragraph" w:styleId="NormalWeb">
    <w:name w:val="Normal (Web)"/>
    <w:basedOn w:val="Normal"/>
    <w:uiPriority w:val="99"/>
    <w:unhideWhenUsed/>
    <w:rsid w:val="007268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6BD4"/>
    <w:pPr>
      <w:ind w:left="720"/>
      <w:contextualSpacing/>
    </w:pPr>
  </w:style>
  <w:style w:type="paragraph" w:customStyle="1" w:styleId="para">
    <w:name w:val="para"/>
    <w:basedOn w:val="Normal"/>
    <w:rsid w:val="00B03E3D"/>
    <w:pPr>
      <w:spacing w:after="30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3683096">
      <w:bodyDiv w:val="1"/>
      <w:marLeft w:val="0"/>
      <w:marRight w:val="0"/>
      <w:marTop w:val="0"/>
      <w:marBottom w:val="0"/>
      <w:divBdr>
        <w:top w:val="none" w:sz="0" w:space="0" w:color="auto"/>
        <w:left w:val="none" w:sz="0" w:space="0" w:color="auto"/>
        <w:bottom w:val="none" w:sz="0" w:space="0" w:color="auto"/>
        <w:right w:val="none" w:sz="0" w:space="0" w:color="auto"/>
      </w:divBdr>
      <w:divsChild>
        <w:div w:id="1553078399">
          <w:marLeft w:val="0"/>
          <w:marRight w:val="0"/>
          <w:marTop w:val="0"/>
          <w:marBottom w:val="0"/>
          <w:divBdr>
            <w:top w:val="none" w:sz="0" w:space="0" w:color="auto"/>
            <w:left w:val="none" w:sz="0" w:space="0" w:color="auto"/>
            <w:bottom w:val="none" w:sz="0" w:space="0" w:color="auto"/>
            <w:right w:val="none" w:sz="0" w:space="0" w:color="auto"/>
          </w:divBdr>
          <w:divsChild>
            <w:div w:id="1478104435">
              <w:marLeft w:val="0"/>
              <w:marRight w:val="0"/>
              <w:marTop w:val="0"/>
              <w:marBottom w:val="0"/>
              <w:divBdr>
                <w:top w:val="none" w:sz="0" w:space="0" w:color="auto"/>
                <w:left w:val="none" w:sz="0" w:space="0" w:color="auto"/>
                <w:bottom w:val="none" w:sz="0" w:space="0" w:color="auto"/>
                <w:right w:val="none" w:sz="0" w:space="0" w:color="auto"/>
              </w:divBdr>
              <w:divsChild>
                <w:div w:id="529804840">
                  <w:marLeft w:val="0"/>
                  <w:marRight w:val="0"/>
                  <w:marTop w:val="0"/>
                  <w:marBottom w:val="0"/>
                  <w:divBdr>
                    <w:top w:val="none" w:sz="0" w:space="0" w:color="auto"/>
                    <w:left w:val="none" w:sz="0" w:space="0" w:color="auto"/>
                    <w:bottom w:val="none" w:sz="0" w:space="0" w:color="auto"/>
                    <w:right w:val="none" w:sz="0" w:space="0" w:color="auto"/>
                  </w:divBdr>
                  <w:divsChild>
                    <w:div w:id="1198394339">
                      <w:marLeft w:val="0"/>
                      <w:marRight w:val="0"/>
                      <w:marTop w:val="0"/>
                      <w:marBottom w:val="0"/>
                      <w:divBdr>
                        <w:top w:val="none" w:sz="0" w:space="0" w:color="auto"/>
                        <w:left w:val="none" w:sz="0" w:space="0" w:color="auto"/>
                        <w:bottom w:val="none" w:sz="0" w:space="0" w:color="auto"/>
                        <w:right w:val="none" w:sz="0" w:space="0" w:color="auto"/>
                      </w:divBdr>
                      <w:divsChild>
                        <w:div w:id="578098559">
                          <w:marLeft w:val="0"/>
                          <w:marRight w:val="0"/>
                          <w:marTop w:val="0"/>
                          <w:marBottom w:val="0"/>
                          <w:divBdr>
                            <w:top w:val="none" w:sz="0" w:space="0" w:color="auto"/>
                            <w:left w:val="none" w:sz="0" w:space="0" w:color="auto"/>
                            <w:bottom w:val="none" w:sz="0" w:space="0" w:color="auto"/>
                            <w:right w:val="none" w:sz="0" w:space="0" w:color="auto"/>
                          </w:divBdr>
                          <w:divsChild>
                            <w:div w:id="905529683">
                              <w:marLeft w:val="0"/>
                              <w:marRight w:val="0"/>
                              <w:marTop w:val="0"/>
                              <w:marBottom w:val="0"/>
                              <w:divBdr>
                                <w:top w:val="none" w:sz="0" w:space="0" w:color="auto"/>
                                <w:left w:val="none" w:sz="0" w:space="0" w:color="auto"/>
                                <w:bottom w:val="none" w:sz="0" w:space="0" w:color="auto"/>
                                <w:right w:val="none" w:sz="0" w:space="0" w:color="auto"/>
                              </w:divBdr>
                              <w:divsChild>
                                <w:div w:id="14053704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423605">
      <w:bodyDiv w:val="1"/>
      <w:marLeft w:val="0"/>
      <w:marRight w:val="0"/>
      <w:marTop w:val="0"/>
      <w:marBottom w:val="0"/>
      <w:divBdr>
        <w:top w:val="none" w:sz="0" w:space="0" w:color="auto"/>
        <w:left w:val="none" w:sz="0" w:space="0" w:color="auto"/>
        <w:bottom w:val="none" w:sz="0" w:space="0" w:color="auto"/>
        <w:right w:val="none" w:sz="0" w:space="0" w:color="auto"/>
      </w:divBdr>
      <w:divsChild>
        <w:div w:id="179975324">
          <w:marLeft w:val="0"/>
          <w:marRight w:val="0"/>
          <w:marTop w:val="0"/>
          <w:marBottom w:val="0"/>
          <w:divBdr>
            <w:top w:val="none" w:sz="0" w:space="0" w:color="auto"/>
            <w:left w:val="none" w:sz="0" w:space="0" w:color="auto"/>
            <w:bottom w:val="none" w:sz="0" w:space="0" w:color="auto"/>
            <w:right w:val="none" w:sz="0" w:space="0" w:color="auto"/>
          </w:divBdr>
          <w:divsChild>
            <w:div w:id="1554853638">
              <w:marLeft w:val="0"/>
              <w:marRight w:val="0"/>
              <w:marTop w:val="0"/>
              <w:marBottom w:val="0"/>
              <w:divBdr>
                <w:top w:val="none" w:sz="0" w:space="0" w:color="auto"/>
                <w:left w:val="none" w:sz="0" w:space="0" w:color="auto"/>
                <w:bottom w:val="none" w:sz="0" w:space="0" w:color="auto"/>
                <w:right w:val="none" w:sz="0" w:space="0" w:color="auto"/>
              </w:divBdr>
              <w:divsChild>
                <w:div w:id="635187186">
                  <w:marLeft w:val="0"/>
                  <w:marRight w:val="0"/>
                  <w:marTop w:val="0"/>
                  <w:marBottom w:val="0"/>
                  <w:divBdr>
                    <w:top w:val="none" w:sz="0" w:space="0" w:color="auto"/>
                    <w:left w:val="none" w:sz="0" w:space="0" w:color="auto"/>
                    <w:bottom w:val="none" w:sz="0" w:space="0" w:color="auto"/>
                    <w:right w:val="none" w:sz="0" w:space="0" w:color="auto"/>
                  </w:divBdr>
                  <w:divsChild>
                    <w:div w:id="221252279">
                      <w:marLeft w:val="0"/>
                      <w:marRight w:val="0"/>
                      <w:marTop w:val="0"/>
                      <w:marBottom w:val="0"/>
                      <w:divBdr>
                        <w:top w:val="none" w:sz="0" w:space="0" w:color="auto"/>
                        <w:left w:val="none" w:sz="0" w:space="0" w:color="auto"/>
                        <w:bottom w:val="none" w:sz="0" w:space="0" w:color="auto"/>
                        <w:right w:val="none" w:sz="0" w:space="0" w:color="auto"/>
                      </w:divBdr>
                      <w:divsChild>
                        <w:div w:id="989015967">
                          <w:marLeft w:val="0"/>
                          <w:marRight w:val="0"/>
                          <w:marTop w:val="0"/>
                          <w:marBottom w:val="0"/>
                          <w:divBdr>
                            <w:top w:val="none" w:sz="0" w:space="0" w:color="auto"/>
                            <w:left w:val="none" w:sz="0" w:space="0" w:color="auto"/>
                            <w:bottom w:val="none" w:sz="0" w:space="0" w:color="auto"/>
                            <w:right w:val="none" w:sz="0" w:space="0" w:color="auto"/>
                          </w:divBdr>
                          <w:divsChild>
                            <w:div w:id="344092177">
                              <w:marLeft w:val="0"/>
                              <w:marRight w:val="0"/>
                              <w:marTop w:val="0"/>
                              <w:marBottom w:val="0"/>
                              <w:divBdr>
                                <w:top w:val="none" w:sz="0" w:space="0" w:color="auto"/>
                                <w:left w:val="none" w:sz="0" w:space="0" w:color="auto"/>
                                <w:bottom w:val="none" w:sz="0" w:space="0" w:color="auto"/>
                                <w:right w:val="none" w:sz="0" w:space="0" w:color="auto"/>
                              </w:divBdr>
                              <w:divsChild>
                                <w:div w:id="950817868">
                                  <w:marLeft w:val="0"/>
                                  <w:marRight w:val="0"/>
                                  <w:marTop w:val="0"/>
                                  <w:marBottom w:val="0"/>
                                  <w:divBdr>
                                    <w:top w:val="none" w:sz="0" w:space="0" w:color="auto"/>
                                    <w:left w:val="none" w:sz="0" w:space="0" w:color="auto"/>
                                    <w:bottom w:val="none" w:sz="0" w:space="0" w:color="auto"/>
                                    <w:right w:val="none" w:sz="0" w:space="0" w:color="auto"/>
                                  </w:divBdr>
                                  <w:divsChild>
                                    <w:div w:id="546187755">
                                      <w:marLeft w:val="0"/>
                                      <w:marRight w:val="0"/>
                                      <w:marTop w:val="0"/>
                                      <w:marBottom w:val="0"/>
                                      <w:divBdr>
                                        <w:top w:val="none" w:sz="0" w:space="0" w:color="auto"/>
                                        <w:left w:val="none" w:sz="0" w:space="0" w:color="auto"/>
                                        <w:bottom w:val="none" w:sz="0" w:space="0" w:color="auto"/>
                                        <w:right w:val="none" w:sz="0" w:space="0" w:color="auto"/>
                                      </w:divBdr>
                                      <w:divsChild>
                                        <w:div w:id="13628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396256">
      <w:bodyDiv w:val="1"/>
      <w:marLeft w:val="0"/>
      <w:marRight w:val="0"/>
      <w:marTop w:val="0"/>
      <w:marBottom w:val="0"/>
      <w:divBdr>
        <w:top w:val="none" w:sz="0" w:space="0" w:color="auto"/>
        <w:left w:val="none" w:sz="0" w:space="0" w:color="auto"/>
        <w:bottom w:val="none" w:sz="0" w:space="0" w:color="auto"/>
        <w:right w:val="none" w:sz="0" w:space="0" w:color="auto"/>
      </w:divBdr>
      <w:divsChild>
        <w:div w:id="1833063122">
          <w:marLeft w:val="0"/>
          <w:marRight w:val="0"/>
          <w:marTop w:val="0"/>
          <w:marBottom w:val="0"/>
          <w:divBdr>
            <w:top w:val="none" w:sz="0" w:space="0" w:color="auto"/>
            <w:left w:val="none" w:sz="0" w:space="0" w:color="auto"/>
            <w:bottom w:val="none" w:sz="0" w:space="0" w:color="auto"/>
            <w:right w:val="none" w:sz="0" w:space="0" w:color="auto"/>
          </w:divBdr>
          <w:divsChild>
            <w:div w:id="568805230">
              <w:marLeft w:val="0"/>
              <w:marRight w:val="0"/>
              <w:marTop w:val="0"/>
              <w:marBottom w:val="0"/>
              <w:divBdr>
                <w:top w:val="none" w:sz="0" w:space="0" w:color="auto"/>
                <w:left w:val="none" w:sz="0" w:space="0" w:color="auto"/>
                <w:bottom w:val="none" w:sz="0" w:space="0" w:color="auto"/>
                <w:right w:val="none" w:sz="0" w:space="0" w:color="auto"/>
              </w:divBdr>
              <w:divsChild>
                <w:div w:id="624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Schwartz</dc:creator>
  <cp:lastModifiedBy>Larry Schwartz</cp:lastModifiedBy>
  <cp:revision>13</cp:revision>
  <dcterms:created xsi:type="dcterms:W3CDTF">2017-01-08T15:09:00Z</dcterms:created>
  <dcterms:modified xsi:type="dcterms:W3CDTF">2017-03-15T10:50:00Z</dcterms:modified>
</cp:coreProperties>
</file>