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"/>
        <w:tblW w:w="10070" w:type="dxa"/>
        <w:tblLayout w:type="fixed"/>
        <w:tblLook w:val="04A0"/>
      </w:tblPr>
      <w:tblGrid>
        <w:gridCol w:w="2240"/>
        <w:gridCol w:w="2790"/>
        <w:gridCol w:w="1890"/>
        <w:gridCol w:w="1593"/>
        <w:gridCol w:w="1557"/>
      </w:tblGrid>
      <w:tr w:rsidR="00433DFC" w:rsidRPr="00071B40" w:rsidTr="00A8035A">
        <w:trPr>
          <w:cnfStyle w:val="100000000000"/>
        </w:trPr>
        <w:tc>
          <w:tcPr>
            <w:cnfStyle w:val="001000000000"/>
            <w:tcW w:w="2240" w:type="dxa"/>
          </w:tcPr>
          <w:p w:rsidR="003C23A2" w:rsidRPr="00071B40" w:rsidRDefault="00F66C22" w:rsidP="003C23A2">
            <w:pPr>
              <w:jc w:val="center"/>
            </w:pPr>
            <w:r w:rsidRPr="00071B40">
              <w:t xml:space="preserve"> Potential </w:t>
            </w:r>
            <w:r w:rsidR="003C23A2" w:rsidRPr="00071B40">
              <w:t>DRUG</w:t>
            </w:r>
          </w:p>
          <w:p w:rsidR="00F66C22" w:rsidRPr="00071B40" w:rsidRDefault="00F66C22" w:rsidP="003C23A2">
            <w:pPr>
              <w:jc w:val="center"/>
            </w:pPr>
            <w:r w:rsidRPr="00071B40">
              <w:t>treatment</w:t>
            </w:r>
          </w:p>
          <w:p w:rsidR="00F66C22" w:rsidRPr="00071B40" w:rsidRDefault="00F66C22" w:rsidP="003C23A2">
            <w:pPr>
              <w:jc w:val="center"/>
            </w:pPr>
          </w:p>
        </w:tc>
        <w:tc>
          <w:tcPr>
            <w:tcW w:w="2790" w:type="dxa"/>
          </w:tcPr>
          <w:p w:rsidR="003C23A2" w:rsidRPr="00071B40" w:rsidRDefault="003C23A2" w:rsidP="003C23A2">
            <w:pPr>
              <w:jc w:val="center"/>
              <w:cnfStyle w:val="100000000000"/>
            </w:pPr>
            <w:r w:rsidRPr="00071B40">
              <w:t>EFFECT</w:t>
            </w:r>
          </w:p>
        </w:tc>
        <w:tc>
          <w:tcPr>
            <w:tcW w:w="1890" w:type="dxa"/>
          </w:tcPr>
          <w:p w:rsidR="003C23A2" w:rsidRPr="00071B40" w:rsidRDefault="003C23A2" w:rsidP="003C23A2">
            <w:pPr>
              <w:jc w:val="center"/>
              <w:cnfStyle w:val="100000000000"/>
            </w:pPr>
            <w:r w:rsidRPr="00071B40">
              <w:t>STATUS</w:t>
            </w:r>
          </w:p>
        </w:tc>
        <w:tc>
          <w:tcPr>
            <w:tcW w:w="1593" w:type="dxa"/>
          </w:tcPr>
          <w:p w:rsidR="003C23A2" w:rsidRPr="00071B40" w:rsidRDefault="0022757B" w:rsidP="003C23A2">
            <w:pPr>
              <w:jc w:val="center"/>
              <w:cnfStyle w:val="100000000000"/>
            </w:pPr>
            <w:r>
              <w:t xml:space="preserve">APBDRF </w:t>
            </w:r>
            <w:r w:rsidR="003C23A2" w:rsidRPr="00071B40">
              <w:t>CONSIDERATION</w:t>
            </w:r>
          </w:p>
        </w:tc>
        <w:tc>
          <w:tcPr>
            <w:tcW w:w="1557" w:type="dxa"/>
          </w:tcPr>
          <w:p w:rsidR="003C23A2" w:rsidRPr="00071B40" w:rsidRDefault="003C23A2" w:rsidP="003C23A2">
            <w:pPr>
              <w:jc w:val="center"/>
              <w:cnfStyle w:val="100000000000"/>
            </w:pPr>
            <w:r w:rsidRPr="00071B40">
              <w:t>WHO’S ON IT</w:t>
            </w:r>
          </w:p>
        </w:tc>
      </w:tr>
      <w:tr w:rsidR="00071B40" w:rsidRPr="00071B40" w:rsidTr="00A8035A">
        <w:trPr>
          <w:cnfStyle w:val="000000100000"/>
        </w:trPr>
        <w:tc>
          <w:tcPr>
            <w:cnfStyle w:val="001000000000"/>
            <w:tcW w:w="2240" w:type="dxa"/>
          </w:tcPr>
          <w:p w:rsidR="00037248" w:rsidRDefault="00071B40" w:rsidP="00037248">
            <w:r w:rsidRPr="00DA0D7D">
              <w:t>Antisense</w:t>
            </w:r>
            <w:r>
              <w:rPr>
                <w:color w:val="C00000"/>
              </w:rPr>
              <w:t xml:space="preserve"> </w:t>
            </w:r>
            <w:r w:rsidRPr="00DA0D7D">
              <w:t xml:space="preserve">approach: </w:t>
            </w:r>
          </w:p>
          <w:p w:rsidR="00037248" w:rsidRPr="00037248" w:rsidRDefault="00071B40" w:rsidP="00037248">
            <w:pPr>
              <w:pStyle w:val="ListParagraph"/>
              <w:numPr>
                <w:ilvl w:val="0"/>
                <w:numId w:val="1"/>
              </w:numPr>
              <w:ind w:left="242" w:hanging="242"/>
            </w:pPr>
            <w:r w:rsidRPr="00037248">
              <w:t xml:space="preserve">ASOs mediated </w:t>
            </w:r>
            <w:r w:rsidR="00037248" w:rsidRPr="00037248">
              <w:t xml:space="preserve">degradation of targeted mRNA </w:t>
            </w:r>
            <w:r w:rsidRPr="00037248">
              <w:t xml:space="preserve">by </w:t>
            </w:r>
            <w:proofErr w:type="spellStart"/>
            <w:r w:rsidRPr="00037248">
              <w:t>RNaseH</w:t>
            </w:r>
            <w:proofErr w:type="spellEnd"/>
            <w:r w:rsidR="00037248" w:rsidRPr="00037248">
              <w:t xml:space="preserve">. </w:t>
            </w:r>
          </w:p>
          <w:p w:rsidR="00037248" w:rsidRPr="00037248" w:rsidRDefault="00037248" w:rsidP="00037248">
            <w:pPr>
              <w:pStyle w:val="ListParagraph"/>
              <w:numPr>
                <w:ilvl w:val="0"/>
                <w:numId w:val="1"/>
              </w:numPr>
              <w:ind w:left="242" w:hanging="242"/>
            </w:pPr>
            <w:r w:rsidRPr="00037248">
              <w:t xml:space="preserve">ASO mediated correction of mRNA splicing </w:t>
            </w:r>
          </w:p>
        </w:tc>
        <w:tc>
          <w:tcPr>
            <w:tcW w:w="2790" w:type="dxa"/>
          </w:tcPr>
          <w:p w:rsidR="00037248" w:rsidRPr="00037248" w:rsidRDefault="00071B40" w:rsidP="00037248">
            <w:pPr>
              <w:pStyle w:val="ListParagraph"/>
              <w:numPr>
                <w:ilvl w:val="0"/>
                <w:numId w:val="1"/>
              </w:numPr>
              <w:ind w:left="252" w:hanging="270"/>
              <w:cnfStyle w:val="000000100000"/>
              <w:rPr>
                <w:rFonts w:asciiTheme="majorHAnsi" w:hAnsiTheme="majorHAnsi"/>
              </w:rPr>
            </w:pPr>
            <w:r w:rsidRPr="00037248">
              <w:rPr>
                <w:rFonts w:asciiTheme="majorHAnsi" w:hAnsiTheme="majorHAnsi"/>
              </w:rPr>
              <w:t>Decrease</w:t>
            </w:r>
            <w:r w:rsidR="00037248" w:rsidRPr="00037248">
              <w:rPr>
                <w:rFonts w:asciiTheme="majorHAnsi" w:hAnsiTheme="majorHAnsi"/>
              </w:rPr>
              <w:t>s</w:t>
            </w:r>
            <w:r w:rsidRPr="00037248">
              <w:rPr>
                <w:rFonts w:asciiTheme="majorHAnsi" w:hAnsiTheme="majorHAnsi"/>
              </w:rPr>
              <w:t xml:space="preserve"> glycogen synthase -by targeting GS and PTG.</w:t>
            </w:r>
            <w:r w:rsidR="00037248" w:rsidRPr="00037248">
              <w:rPr>
                <w:rFonts w:asciiTheme="majorHAnsi" w:hAnsiTheme="majorHAnsi"/>
              </w:rPr>
              <w:t xml:space="preserve"> </w:t>
            </w:r>
          </w:p>
          <w:p w:rsidR="00071B40" w:rsidRPr="00037248" w:rsidRDefault="00071B40" w:rsidP="00037248">
            <w:pPr>
              <w:pStyle w:val="ListParagraph"/>
              <w:numPr>
                <w:ilvl w:val="0"/>
                <w:numId w:val="1"/>
              </w:numPr>
              <w:ind w:left="252" w:hanging="270"/>
              <w:cnfStyle w:val="000000100000"/>
              <w:rPr>
                <w:rFonts w:asciiTheme="majorHAnsi" w:hAnsiTheme="majorHAnsi"/>
              </w:rPr>
            </w:pPr>
            <w:r w:rsidRPr="00037248" w:rsidDel="009B7EAD">
              <w:rPr>
                <w:rFonts w:asciiTheme="majorHAnsi" w:hAnsiTheme="majorHAnsi"/>
              </w:rPr>
              <w:t>Correct</w:t>
            </w:r>
            <w:r w:rsidR="00037248" w:rsidRPr="00037248">
              <w:rPr>
                <w:rFonts w:asciiTheme="majorHAnsi" w:hAnsiTheme="majorHAnsi"/>
              </w:rPr>
              <w:t>s</w:t>
            </w:r>
            <w:r w:rsidRPr="00037248" w:rsidDel="009B7EAD">
              <w:rPr>
                <w:rFonts w:asciiTheme="majorHAnsi" w:hAnsiTheme="majorHAnsi"/>
              </w:rPr>
              <w:t xml:space="preserve"> </w:t>
            </w:r>
            <w:proofErr w:type="spellStart"/>
            <w:r w:rsidRPr="00037248" w:rsidDel="009B7EAD">
              <w:rPr>
                <w:rFonts w:asciiTheme="majorHAnsi" w:hAnsiTheme="majorHAnsi"/>
              </w:rPr>
              <w:t>intronic</w:t>
            </w:r>
            <w:proofErr w:type="spellEnd"/>
            <w:r w:rsidRPr="00037248" w:rsidDel="009B7EAD">
              <w:rPr>
                <w:rFonts w:asciiTheme="majorHAnsi" w:hAnsiTheme="majorHAnsi"/>
              </w:rPr>
              <w:t xml:space="preserve"> mutation in compound heterozygote patients</w:t>
            </w:r>
            <w:r w:rsidR="00037248">
              <w:rPr>
                <w:rFonts w:asciiTheme="majorHAnsi" w:hAnsiTheme="majorHAnsi"/>
              </w:rPr>
              <w:t>,</w:t>
            </w:r>
            <w:r w:rsidR="00037248" w:rsidRPr="00037248">
              <w:rPr>
                <w:rFonts w:asciiTheme="majorHAnsi" w:hAnsiTheme="majorHAnsi"/>
              </w:rPr>
              <w:t xml:space="preserve"> </w:t>
            </w:r>
            <w:r w:rsidRPr="00037248" w:rsidDel="009B7EAD">
              <w:rPr>
                <w:rFonts w:asciiTheme="majorHAnsi" w:hAnsiTheme="majorHAnsi"/>
              </w:rPr>
              <w:t>Same mechanism as FDA approved</w:t>
            </w:r>
            <w:r w:rsidR="00037248" w:rsidRPr="00037248">
              <w:rPr>
                <w:rFonts w:asciiTheme="majorHAnsi" w:hAnsiTheme="majorHAnsi"/>
              </w:rPr>
              <w:t xml:space="preserve"> -</w:t>
            </w:r>
            <w:proofErr w:type="spellStart"/>
            <w:r w:rsidRPr="00037248">
              <w:rPr>
                <w:rFonts w:asciiTheme="majorHAnsi" w:hAnsiTheme="majorHAnsi"/>
              </w:rPr>
              <w:t>Spinraza</w:t>
            </w:r>
            <w:proofErr w:type="spellEnd"/>
            <w:r w:rsidRPr="00037248">
              <w:rPr>
                <w:rFonts w:asciiTheme="majorHAnsi" w:hAnsiTheme="majorHAnsi"/>
              </w:rPr>
              <w:t xml:space="preserve"> for SMA</w:t>
            </w:r>
            <w:r w:rsidR="00037248" w:rsidRPr="00037248" w:rsidDel="009B7EAD">
              <w:rPr>
                <w:rFonts w:asciiTheme="majorHAnsi" w:hAnsiTheme="majorHAnsi"/>
              </w:rPr>
              <w:t xml:space="preserve"> </w:t>
            </w:r>
            <w:r w:rsidR="00037248" w:rsidRPr="00037248" w:rsidDel="00433DFC">
              <w:rPr>
                <w:rFonts w:asciiTheme="majorHAnsi" w:hAnsiTheme="majorHAnsi"/>
              </w:rPr>
              <w:t>4/2017</w:t>
            </w:r>
            <w:r w:rsidR="00037248" w:rsidRPr="00037248">
              <w:rPr>
                <w:rFonts w:asciiTheme="majorHAnsi" w:hAnsiTheme="majorHAnsi"/>
              </w:rPr>
              <w:t>-</w:t>
            </w:r>
          </w:p>
        </w:tc>
        <w:tc>
          <w:tcPr>
            <w:tcW w:w="1890" w:type="dxa"/>
          </w:tcPr>
          <w:p w:rsidR="00071B40" w:rsidRPr="00DA0D7D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DA0D7D">
              <w:rPr>
                <w:rFonts w:asciiTheme="majorHAnsi" w:hAnsiTheme="majorHAnsi"/>
              </w:rPr>
              <w:t xml:space="preserve">Animal model proof of concept research completed for  APBD and </w:t>
            </w:r>
            <w:proofErr w:type="spellStart"/>
            <w:r w:rsidRPr="00DA0D7D">
              <w:rPr>
                <w:rFonts w:asciiTheme="majorHAnsi" w:hAnsiTheme="majorHAnsi"/>
              </w:rPr>
              <w:t>Lafora</w:t>
            </w:r>
            <w:proofErr w:type="spellEnd"/>
            <w:r w:rsidRPr="00DA0D7D">
              <w:rPr>
                <w:rFonts w:asciiTheme="majorHAnsi" w:hAnsiTheme="majorHAnsi"/>
              </w:rPr>
              <w:t xml:space="preserve"> -</w:t>
            </w:r>
            <w:proofErr w:type="spellStart"/>
            <w:r w:rsidRPr="00DA0D7D">
              <w:rPr>
                <w:rFonts w:asciiTheme="majorHAnsi" w:hAnsiTheme="majorHAnsi"/>
              </w:rPr>
              <w:t>Ionis</w:t>
            </w:r>
            <w:proofErr w:type="spellEnd"/>
            <w:r w:rsidRPr="00DA0D7D">
              <w:rPr>
                <w:rFonts w:asciiTheme="majorHAnsi" w:hAnsiTheme="majorHAnsi"/>
              </w:rPr>
              <w:t xml:space="preserve"> building</w:t>
            </w:r>
          </w:p>
          <w:p w:rsidR="00071B40" w:rsidRPr="00071B40" w:rsidRDefault="00071B40" w:rsidP="000C15B5">
            <w:pPr>
              <w:cnfStyle w:val="000000100000"/>
              <w:rPr>
                <w:rFonts w:asciiTheme="majorHAnsi" w:hAnsiTheme="majorHAnsi"/>
              </w:rPr>
            </w:pPr>
            <w:r w:rsidRPr="00DA0D7D">
              <w:rPr>
                <w:rFonts w:asciiTheme="majorHAnsi" w:hAnsiTheme="majorHAnsi"/>
              </w:rPr>
              <w:t>Humanized GS mouse model</w:t>
            </w:r>
            <w:r w:rsidR="00037248">
              <w:rPr>
                <w:rFonts w:asciiTheme="majorHAnsi" w:hAnsiTheme="majorHAnsi"/>
              </w:rPr>
              <w:t xml:space="preserve"> </w:t>
            </w:r>
            <w:r w:rsidRPr="00071B40" w:rsidDel="009B7EAD">
              <w:rPr>
                <w:rFonts w:asciiTheme="majorHAnsi" w:hAnsiTheme="majorHAnsi"/>
              </w:rPr>
              <w:t>Dr Akman building mouse model and proof o</w:t>
            </w:r>
            <w:r w:rsidR="000C15B5">
              <w:rPr>
                <w:rFonts w:asciiTheme="majorHAnsi" w:hAnsiTheme="majorHAnsi"/>
              </w:rPr>
              <w:t>f</w:t>
            </w:r>
            <w:r w:rsidRPr="00071B40" w:rsidDel="009B7EAD">
              <w:rPr>
                <w:rFonts w:asciiTheme="majorHAnsi" w:hAnsiTheme="majorHAnsi"/>
              </w:rPr>
              <w:t xml:space="preserve"> concept research</w:t>
            </w:r>
          </w:p>
        </w:tc>
        <w:tc>
          <w:tcPr>
            <w:tcW w:w="1593" w:type="dxa"/>
          </w:tcPr>
          <w:p w:rsidR="000C15B5" w:rsidRDefault="00071B40">
            <w:pPr>
              <w:cnfStyle w:val="000000100000"/>
              <w:rPr>
                <w:rFonts w:asciiTheme="majorHAnsi" w:hAnsiTheme="majorHAnsi"/>
              </w:rPr>
            </w:pPr>
            <w:r w:rsidRPr="00DA0D7D">
              <w:rPr>
                <w:rFonts w:asciiTheme="majorHAnsi" w:hAnsiTheme="majorHAnsi"/>
              </w:rPr>
              <w:t xml:space="preserve">Be prepared with patient population should </w:t>
            </w:r>
            <w:proofErr w:type="spellStart"/>
            <w:r w:rsidRPr="00DA0D7D">
              <w:rPr>
                <w:rFonts w:asciiTheme="majorHAnsi" w:hAnsiTheme="majorHAnsi"/>
              </w:rPr>
              <w:t>Ionis</w:t>
            </w:r>
            <w:proofErr w:type="spellEnd"/>
            <w:r w:rsidRPr="00DA0D7D">
              <w:rPr>
                <w:rFonts w:asciiTheme="majorHAnsi" w:hAnsiTheme="majorHAnsi"/>
              </w:rPr>
              <w:t xml:space="preserve"> decide to move forward</w:t>
            </w:r>
            <w:r w:rsidR="000C15B5">
              <w:rPr>
                <w:rFonts w:asciiTheme="majorHAnsi" w:hAnsiTheme="majorHAnsi"/>
              </w:rPr>
              <w:t xml:space="preserve"> </w:t>
            </w:r>
          </w:p>
          <w:p w:rsidR="00071B40" w:rsidRPr="00071B40" w:rsidRDefault="00071B40">
            <w:pPr>
              <w:cnfStyle w:val="000000100000"/>
              <w:rPr>
                <w:rFonts w:asciiTheme="majorHAnsi" w:hAnsiTheme="majorHAnsi"/>
              </w:rPr>
            </w:pPr>
            <w:r w:rsidRPr="00071B40" w:rsidDel="009B7EAD">
              <w:rPr>
                <w:rFonts w:asciiTheme="majorHAnsi" w:hAnsiTheme="majorHAnsi"/>
              </w:rPr>
              <w:t>Received Penn Med grant</w:t>
            </w:r>
          </w:p>
        </w:tc>
        <w:tc>
          <w:tcPr>
            <w:tcW w:w="1557" w:type="dxa"/>
          </w:tcPr>
          <w:p w:rsidR="000C15B5" w:rsidRDefault="00071B40" w:rsidP="001E1799">
            <w:pPr>
              <w:cnfStyle w:val="000000100000"/>
              <w:rPr>
                <w:rFonts w:asciiTheme="majorHAnsi" w:hAnsiTheme="majorHAnsi"/>
              </w:rPr>
            </w:pPr>
            <w:proofErr w:type="spellStart"/>
            <w:r w:rsidRPr="00DA0D7D">
              <w:rPr>
                <w:rFonts w:asciiTheme="majorHAnsi" w:hAnsiTheme="majorHAnsi"/>
              </w:rPr>
              <w:t>Ionis</w:t>
            </w:r>
            <w:proofErr w:type="spellEnd"/>
            <w:r w:rsidRPr="00DA0D7D">
              <w:rPr>
                <w:rFonts w:asciiTheme="majorHAnsi" w:hAnsiTheme="majorHAnsi"/>
              </w:rPr>
              <w:t xml:space="preserve"> </w:t>
            </w:r>
            <w:proofErr w:type="spellStart"/>
            <w:r w:rsidRPr="00DA0D7D">
              <w:rPr>
                <w:rFonts w:asciiTheme="majorHAnsi" w:hAnsiTheme="majorHAnsi"/>
              </w:rPr>
              <w:t>Pharma</w:t>
            </w:r>
            <w:proofErr w:type="spellEnd"/>
            <w:r w:rsidRPr="00DA0D7D">
              <w:rPr>
                <w:rFonts w:asciiTheme="majorHAnsi" w:hAnsiTheme="majorHAnsi"/>
              </w:rPr>
              <w:t xml:space="preserve">/Dr. </w:t>
            </w:r>
            <w:proofErr w:type="spellStart"/>
            <w:r w:rsidRPr="00DA0D7D">
              <w:rPr>
                <w:rFonts w:asciiTheme="majorHAnsi" w:hAnsiTheme="majorHAnsi"/>
              </w:rPr>
              <w:t>Minassian</w:t>
            </w:r>
            <w:proofErr w:type="spellEnd"/>
            <w:r w:rsidRPr="00DA0D7D">
              <w:rPr>
                <w:rFonts w:asciiTheme="majorHAnsi" w:hAnsiTheme="majorHAnsi"/>
              </w:rPr>
              <w:t xml:space="preserve"> </w:t>
            </w:r>
            <w:r w:rsidR="000C15B5">
              <w:rPr>
                <w:rFonts w:asciiTheme="majorHAnsi" w:hAnsiTheme="majorHAnsi"/>
              </w:rPr>
              <w:t xml:space="preserve">is </w:t>
            </w:r>
            <w:r w:rsidRPr="00DA0D7D">
              <w:rPr>
                <w:rFonts w:asciiTheme="majorHAnsi" w:hAnsiTheme="majorHAnsi"/>
              </w:rPr>
              <w:t xml:space="preserve">preparing manuscript </w:t>
            </w:r>
          </w:p>
          <w:p w:rsidR="000C15B5" w:rsidRDefault="000C15B5" w:rsidP="001E1799">
            <w:pPr>
              <w:cnfStyle w:val="000000100000"/>
              <w:rPr>
                <w:rFonts w:asciiTheme="majorHAnsi" w:hAnsiTheme="majorHAnsi"/>
              </w:rPr>
            </w:pPr>
          </w:p>
          <w:p w:rsidR="00071B40" w:rsidRPr="00071B40" w:rsidDel="009B7EAD" w:rsidRDefault="00071B40" w:rsidP="001E1799">
            <w:pPr>
              <w:cnfStyle w:val="000000100000"/>
              <w:rPr>
                <w:rFonts w:asciiTheme="majorHAnsi" w:hAnsiTheme="majorHAnsi"/>
              </w:rPr>
            </w:pPr>
            <w:proofErr w:type="spellStart"/>
            <w:r w:rsidRPr="00071B40" w:rsidDel="009B7EAD">
              <w:rPr>
                <w:rFonts w:asciiTheme="majorHAnsi" w:hAnsiTheme="majorHAnsi"/>
              </w:rPr>
              <w:t>Ionis</w:t>
            </w:r>
            <w:proofErr w:type="spellEnd"/>
            <w:r w:rsidRPr="00071B40" w:rsidDel="009B7EAD">
              <w:rPr>
                <w:rFonts w:asciiTheme="majorHAnsi" w:hAnsiTheme="majorHAnsi"/>
              </w:rPr>
              <w:t xml:space="preserve"> </w:t>
            </w:r>
            <w:proofErr w:type="spellStart"/>
            <w:r w:rsidRPr="00071B40" w:rsidDel="009B7EAD">
              <w:rPr>
                <w:rFonts w:asciiTheme="majorHAnsi" w:hAnsiTheme="majorHAnsi"/>
              </w:rPr>
              <w:t>Pharma</w:t>
            </w:r>
            <w:proofErr w:type="spellEnd"/>
            <w:r w:rsidRPr="00071B40" w:rsidDel="009B7EAD">
              <w:rPr>
                <w:rFonts w:asciiTheme="majorHAnsi" w:hAnsiTheme="majorHAnsi"/>
              </w:rPr>
              <w:t xml:space="preserve"> </w:t>
            </w:r>
          </w:p>
          <w:p w:rsidR="00071B40" w:rsidRPr="00071B40" w:rsidRDefault="00071B40" w:rsidP="00D20965">
            <w:pPr>
              <w:cnfStyle w:val="000000100000"/>
              <w:rPr>
                <w:rFonts w:asciiTheme="majorHAnsi" w:hAnsiTheme="majorHAnsi"/>
              </w:rPr>
            </w:pPr>
            <w:r w:rsidRPr="00071B40" w:rsidDel="009B7EAD">
              <w:rPr>
                <w:rFonts w:asciiTheme="majorHAnsi" w:hAnsiTheme="majorHAnsi"/>
              </w:rPr>
              <w:t xml:space="preserve">Dr. Akman </w:t>
            </w:r>
          </w:p>
        </w:tc>
      </w:tr>
      <w:tr w:rsidR="00071B40" w:rsidRPr="00071B40" w:rsidTr="00A8035A">
        <w:trPr>
          <w:cnfStyle w:val="000000010000"/>
        </w:trPr>
        <w:tc>
          <w:tcPr>
            <w:cnfStyle w:val="001000000000"/>
            <w:tcW w:w="2240" w:type="dxa"/>
          </w:tcPr>
          <w:p w:rsidR="00071B40" w:rsidRPr="00071B40" w:rsidDel="001E1799" w:rsidRDefault="00071B40">
            <w:r w:rsidRPr="00071B40">
              <w:t>TGM5</w:t>
            </w:r>
          </w:p>
        </w:tc>
        <w:tc>
          <w:tcPr>
            <w:tcW w:w="2790" w:type="dxa"/>
          </w:tcPr>
          <w:p w:rsidR="00071B40" w:rsidRPr="00071B40" w:rsidRDefault="00071B40" w:rsidP="001E1799">
            <w:pPr>
              <w:shd w:val="clear" w:color="auto" w:fill="FFFFFF"/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Stabilize existing p.Y329S GBE protein</w:t>
            </w:r>
          </w:p>
        </w:tc>
        <w:tc>
          <w:tcPr>
            <w:tcW w:w="1890" w:type="dxa"/>
          </w:tcPr>
          <w:p w:rsidR="00071B40" w:rsidRPr="00071B40" w:rsidDel="001E1799" w:rsidRDefault="00071B40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Will be included in clinical trials in Hadassah. Paper submitted to J Lipid Res is being revised for resubmission</w:t>
            </w:r>
          </w:p>
        </w:tc>
        <w:tc>
          <w:tcPr>
            <w:tcW w:w="1593" w:type="dxa"/>
          </w:tcPr>
          <w:p w:rsidR="00071B40" w:rsidRPr="00071B40" w:rsidDel="001E1799" w:rsidRDefault="00071B40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Seeking regulatory guidance for US trial</w:t>
            </w:r>
          </w:p>
        </w:tc>
        <w:tc>
          <w:tcPr>
            <w:tcW w:w="1557" w:type="dxa"/>
          </w:tcPr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Drs. </w:t>
            </w:r>
            <w:proofErr w:type="spellStart"/>
            <w:r w:rsidRPr="00071B40">
              <w:rPr>
                <w:rFonts w:asciiTheme="majorHAnsi" w:hAnsiTheme="majorHAnsi"/>
              </w:rPr>
              <w:t>Escriba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Kakhlon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Caraco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Lossos</w:t>
            </w:r>
            <w:proofErr w:type="spellEnd"/>
          </w:p>
          <w:p w:rsidR="00071B40" w:rsidRPr="00071B40" w:rsidDel="001E1799" w:rsidRDefault="00071B40" w:rsidP="00D20965">
            <w:pPr>
              <w:cnfStyle w:val="000000010000"/>
              <w:rPr>
                <w:rFonts w:asciiTheme="majorHAnsi" w:hAnsiTheme="majorHAnsi"/>
              </w:rPr>
            </w:pPr>
            <w:proofErr w:type="spellStart"/>
            <w:r w:rsidRPr="00071B40">
              <w:rPr>
                <w:rFonts w:asciiTheme="majorHAnsi" w:hAnsiTheme="majorHAnsi"/>
              </w:rPr>
              <w:t>Lipopharma</w:t>
            </w:r>
            <w:proofErr w:type="spellEnd"/>
            <w:r w:rsidRPr="00071B40">
              <w:rPr>
                <w:rFonts w:asciiTheme="majorHAnsi" w:hAnsiTheme="majorHAnsi"/>
              </w:rPr>
              <w:t xml:space="preserve"> B</w:t>
            </w:r>
            <w:bookmarkStart w:id="0" w:name="_GoBack"/>
            <w:bookmarkEnd w:id="0"/>
            <w:r w:rsidRPr="00071B40">
              <w:rPr>
                <w:rFonts w:asciiTheme="majorHAnsi" w:hAnsiTheme="majorHAnsi"/>
              </w:rPr>
              <w:t>EGA</w:t>
            </w:r>
          </w:p>
        </w:tc>
      </w:tr>
      <w:tr w:rsidR="00071B40" w:rsidRPr="00071B40" w:rsidTr="00A8035A">
        <w:trPr>
          <w:cnfStyle w:val="000000100000"/>
        </w:trPr>
        <w:tc>
          <w:tcPr>
            <w:cnfStyle w:val="001000000000"/>
            <w:tcW w:w="2240" w:type="dxa"/>
          </w:tcPr>
          <w:p w:rsidR="00071B40" w:rsidRPr="00071B40" w:rsidRDefault="00071B40" w:rsidP="001E1799">
            <w:r w:rsidRPr="00071B40">
              <w:t>Guaiacol</w:t>
            </w:r>
          </w:p>
        </w:tc>
        <w:tc>
          <w:tcPr>
            <w:tcW w:w="2790" w:type="dxa"/>
          </w:tcPr>
          <w:p w:rsidR="00071B40" w:rsidRPr="00071B40" w:rsidRDefault="00071B40" w:rsidP="00071B40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Decrease glycogen synthase </w:t>
            </w:r>
            <w:r w:rsidRPr="00071B40">
              <w:rPr>
                <w:rFonts w:asciiTheme="majorHAnsi" w:eastAsiaTheme="majorEastAsia" w:hAnsiTheme="majorHAnsi" w:cstheme="majorBidi"/>
                <w:bCs/>
              </w:rPr>
              <w:t>activity</w:t>
            </w:r>
          </w:p>
        </w:tc>
        <w:tc>
          <w:tcPr>
            <w:tcW w:w="1890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publication expected in a few months/</w:t>
            </w:r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Will be  included in clinical trials in Hadassah</w:t>
            </w:r>
          </w:p>
        </w:tc>
        <w:tc>
          <w:tcPr>
            <w:tcW w:w="1593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Seeking regulatory guidance</w:t>
            </w:r>
          </w:p>
        </w:tc>
        <w:tc>
          <w:tcPr>
            <w:tcW w:w="1557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Drs. </w:t>
            </w:r>
            <w:proofErr w:type="spellStart"/>
            <w:r w:rsidRPr="00071B40">
              <w:rPr>
                <w:rFonts w:asciiTheme="majorHAnsi" w:hAnsiTheme="majorHAnsi"/>
              </w:rPr>
              <w:t>Akman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Yue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Kakhlon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Escriba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Lossos</w:t>
            </w:r>
            <w:proofErr w:type="spellEnd"/>
            <w:r w:rsidRPr="00071B40">
              <w:rPr>
                <w:rFonts w:asciiTheme="majorHAnsi" w:hAnsiTheme="majorHAnsi"/>
              </w:rPr>
              <w:t xml:space="preserve">, </w:t>
            </w:r>
            <w:proofErr w:type="spellStart"/>
            <w:r w:rsidRPr="00071B40">
              <w:rPr>
                <w:rFonts w:asciiTheme="majorHAnsi" w:hAnsiTheme="majorHAnsi"/>
              </w:rPr>
              <w:t>Caraco</w:t>
            </w:r>
            <w:proofErr w:type="spellEnd"/>
            <w:r w:rsidRPr="00071B40">
              <w:rPr>
                <w:rFonts w:asciiTheme="majorHAnsi" w:hAnsiTheme="majorHAnsi"/>
              </w:rPr>
              <w:t>/</w:t>
            </w:r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BEGA</w:t>
            </w:r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On cures within reach platform</w:t>
            </w:r>
          </w:p>
        </w:tc>
      </w:tr>
      <w:tr w:rsidR="00071B40" w:rsidRPr="00071B40" w:rsidTr="00A8035A">
        <w:trPr>
          <w:cnfStyle w:val="000000010000"/>
          <w:trHeight w:val="1501"/>
        </w:trPr>
        <w:tc>
          <w:tcPr>
            <w:cnfStyle w:val="001000000000"/>
            <w:tcW w:w="2240" w:type="dxa"/>
          </w:tcPr>
          <w:p w:rsidR="00071B40" w:rsidRPr="00071B40" w:rsidRDefault="00071B40" w:rsidP="000C15B5">
            <w:r w:rsidRPr="00071B40">
              <w:t>Ibudilast/</w:t>
            </w:r>
            <w:r w:rsidR="00A8035A">
              <w:t xml:space="preserve"> </w:t>
            </w:r>
            <w:r w:rsidR="000C15B5" w:rsidRPr="00071B40">
              <w:t>Guaifene</w:t>
            </w:r>
            <w:r w:rsidR="000C15B5" w:rsidRPr="00071B40" w:rsidDel="00433DFC">
              <w:t>s</w:t>
            </w:r>
            <w:r w:rsidR="000C15B5" w:rsidRPr="00071B40">
              <w:t>in</w:t>
            </w:r>
          </w:p>
        </w:tc>
        <w:tc>
          <w:tcPr>
            <w:tcW w:w="2790" w:type="dxa"/>
          </w:tcPr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Decreases glycogen or glycogen synthase</w:t>
            </w:r>
            <w:r w:rsidRPr="00071B40">
              <w:rPr>
                <w:rFonts w:asciiTheme="majorHAnsi" w:eastAsiaTheme="majorEastAsia" w:hAnsiTheme="majorHAnsi" w:cstheme="majorBidi"/>
                <w:bCs/>
                <w:color w:val="C00000"/>
              </w:rPr>
              <w:t xml:space="preserve"> </w:t>
            </w:r>
            <w:r w:rsidRPr="00071B40">
              <w:rPr>
                <w:rFonts w:asciiTheme="majorHAnsi" w:eastAsiaTheme="majorEastAsia" w:hAnsiTheme="majorHAnsi" w:cstheme="majorBidi"/>
                <w:bCs/>
              </w:rPr>
              <w:t>activity</w:t>
            </w:r>
          </w:p>
        </w:tc>
        <w:tc>
          <w:tcPr>
            <w:tcW w:w="1890" w:type="dxa"/>
          </w:tcPr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Dr. Akman proof of concept animal model research</w:t>
            </w:r>
          </w:p>
        </w:tc>
        <w:tc>
          <w:tcPr>
            <w:tcW w:w="1593" w:type="dxa"/>
          </w:tcPr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Seeking regulatory guidance</w:t>
            </w:r>
          </w:p>
        </w:tc>
        <w:tc>
          <w:tcPr>
            <w:tcW w:w="1557" w:type="dxa"/>
          </w:tcPr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Dr. Akman/ Received Penn Med grant</w:t>
            </w:r>
          </w:p>
        </w:tc>
      </w:tr>
      <w:tr w:rsidR="00071B40" w:rsidRPr="00071B40" w:rsidTr="00A8035A">
        <w:trPr>
          <w:cnfStyle w:val="000000100000"/>
          <w:trHeight w:val="592"/>
        </w:trPr>
        <w:tc>
          <w:tcPr>
            <w:cnfStyle w:val="001000000000"/>
            <w:tcW w:w="2240" w:type="dxa"/>
          </w:tcPr>
          <w:p w:rsidR="00071B40" w:rsidRPr="00071B40" w:rsidRDefault="00071B40" w:rsidP="001E1799">
            <w:proofErr w:type="spellStart"/>
            <w:r w:rsidRPr="00071B40">
              <w:t>Triheptanoin</w:t>
            </w:r>
            <w:proofErr w:type="spellEnd"/>
          </w:p>
        </w:tc>
        <w:tc>
          <w:tcPr>
            <w:tcW w:w="2790" w:type="dxa"/>
          </w:tcPr>
          <w:p w:rsidR="00071B40" w:rsidRDefault="00071B40" w:rsidP="00082A60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Alternative energy source or </w:t>
            </w:r>
            <w:r w:rsidR="00082A60">
              <w:rPr>
                <w:rFonts w:asciiTheme="majorHAnsi" w:hAnsiTheme="majorHAnsi"/>
              </w:rPr>
              <w:t xml:space="preserve">stabilizer of </w:t>
            </w:r>
            <w:r w:rsidRPr="00071B40">
              <w:rPr>
                <w:rFonts w:asciiTheme="majorHAnsi" w:hAnsiTheme="majorHAnsi"/>
              </w:rPr>
              <w:t xml:space="preserve">GBE </w:t>
            </w:r>
            <w:r w:rsidR="00082A60">
              <w:rPr>
                <w:rFonts w:asciiTheme="majorHAnsi" w:hAnsiTheme="majorHAnsi"/>
              </w:rPr>
              <w:t>with p.Y329S.</w:t>
            </w:r>
          </w:p>
          <w:p w:rsidR="003E17F2" w:rsidRDefault="003E17F2" w:rsidP="00082A60">
            <w:pPr>
              <w:cnfStyle w:val="000000100000"/>
              <w:rPr>
                <w:rFonts w:asciiTheme="majorHAnsi" w:hAnsiTheme="majorHAnsi"/>
              </w:rPr>
            </w:pPr>
          </w:p>
          <w:p w:rsidR="003E17F2" w:rsidRDefault="003E17F2" w:rsidP="00082A60">
            <w:pPr>
              <w:cnfStyle w:val="000000100000"/>
              <w:rPr>
                <w:rFonts w:asciiTheme="majorHAnsi" w:hAnsiTheme="majorHAnsi"/>
              </w:rPr>
            </w:pPr>
          </w:p>
          <w:p w:rsidR="003E17F2" w:rsidRPr="00071B40" w:rsidRDefault="003E17F2" w:rsidP="00082A60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Clinical trial ended 12/15</w:t>
            </w:r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Safety confirmed</w:t>
            </w:r>
          </w:p>
        </w:tc>
        <w:tc>
          <w:tcPr>
            <w:tcW w:w="1593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Study </w:t>
            </w:r>
            <w:proofErr w:type="spellStart"/>
            <w:r w:rsidRPr="00071B40">
              <w:rPr>
                <w:rFonts w:asciiTheme="majorHAnsi" w:hAnsiTheme="majorHAnsi"/>
              </w:rPr>
              <w:t>unblinded</w:t>
            </w:r>
            <w:proofErr w:type="spellEnd"/>
            <w:r w:rsidRPr="00071B40">
              <w:rPr>
                <w:rFonts w:asciiTheme="majorHAnsi" w:hAnsiTheme="majorHAnsi"/>
              </w:rPr>
              <w:t xml:space="preserve"> 2016</w:t>
            </w:r>
            <w:r w:rsidR="00A8035A">
              <w:rPr>
                <w:rFonts w:asciiTheme="majorHAnsi" w:hAnsiTheme="majorHAnsi"/>
              </w:rPr>
              <w:t>,</w:t>
            </w:r>
            <w:r w:rsidRPr="00071B40">
              <w:rPr>
                <w:rFonts w:asciiTheme="majorHAnsi" w:hAnsiTheme="majorHAnsi"/>
              </w:rPr>
              <w:t xml:space="preserve"> efficacy </w:t>
            </w:r>
            <w:r w:rsidR="00A8035A">
              <w:rPr>
                <w:rFonts w:asciiTheme="majorHAnsi" w:hAnsiTheme="majorHAnsi"/>
              </w:rPr>
              <w:t xml:space="preserve">is </w:t>
            </w:r>
            <w:r w:rsidRPr="00071B40">
              <w:rPr>
                <w:rFonts w:asciiTheme="majorHAnsi" w:hAnsiTheme="majorHAnsi"/>
              </w:rPr>
              <w:t>inconclusive</w:t>
            </w:r>
          </w:p>
        </w:tc>
        <w:tc>
          <w:tcPr>
            <w:tcW w:w="1557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Dr. </w:t>
            </w:r>
            <w:proofErr w:type="spellStart"/>
            <w:r w:rsidRPr="00071B40">
              <w:rPr>
                <w:rFonts w:asciiTheme="majorHAnsi" w:hAnsiTheme="majorHAnsi"/>
              </w:rPr>
              <w:t>Schiffman</w:t>
            </w:r>
            <w:proofErr w:type="spellEnd"/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proofErr w:type="spellStart"/>
            <w:r w:rsidRPr="00071B40">
              <w:rPr>
                <w:rFonts w:asciiTheme="majorHAnsi" w:hAnsiTheme="majorHAnsi"/>
              </w:rPr>
              <w:t>Ultragenyx</w:t>
            </w:r>
            <w:proofErr w:type="spellEnd"/>
          </w:p>
        </w:tc>
      </w:tr>
      <w:tr w:rsidR="00071B40" w:rsidRPr="00071B40" w:rsidTr="00A8035A">
        <w:trPr>
          <w:cnfStyle w:val="000000010000"/>
        </w:trPr>
        <w:tc>
          <w:tcPr>
            <w:cnfStyle w:val="001000000000"/>
            <w:tcW w:w="2240" w:type="dxa"/>
          </w:tcPr>
          <w:p w:rsidR="003275D7" w:rsidRDefault="003275D7" w:rsidP="00071B40"/>
          <w:p w:rsidR="00071B40" w:rsidRPr="00071B40" w:rsidRDefault="00071B40" w:rsidP="00071B40">
            <w:r w:rsidRPr="00071B40">
              <w:t xml:space="preserve">PMI Small Molecule Screening Project </w:t>
            </w:r>
          </w:p>
        </w:tc>
        <w:tc>
          <w:tcPr>
            <w:tcW w:w="2790" w:type="dxa"/>
          </w:tcPr>
          <w:p w:rsidR="003E17F2" w:rsidRDefault="003E17F2" w:rsidP="00071B40">
            <w:pPr>
              <w:shd w:val="clear" w:color="auto" w:fill="FFFFFF"/>
              <w:cnfStyle w:val="000000010000"/>
              <w:rPr>
                <w:rFonts w:asciiTheme="majorHAnsi" w:hAnsiTheme="majorHAnsi"/>
              </w:rPr>
            </w:pPr>
          </w:p>
          <w:p w:rsidR="00071B40" w:rsidRPr="00071B40" w:rsidRDefault="00071B40" w:rsidP="00071B40">
            <w:pPr>
              <w:shd w:val="clear" w:color="auto" w:fill="FFFFFF"/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High content Screening multi-parametric analysis of skin fibroblasts from APBD and </w:t>
            </w:r>
            <w:proofErr w:type="spellStart"/>
            <w:r w:rsidRPr="00071B40">
              <w:rPr>
                <w:rFonts w:asciiTheme="majorHAnsi" w:hAnsiTheme="majorHAnsi"/>
              </w:rPr>
              <w:t>Lafora</w:t>
            </w:r>
            <w:proofErr w:type="spellEnd"/>
            <w:r w:rsidRPr="00071B40">
              <w:rPr>
                <w:rFonts w:asciiTheme="majorHAnsi" w:hAnsiTheme="majorHAnsi"/>
              </w:rPr>
              <w:t xml:space="preserve"> patients- This work is part of the generation of the APBD  biobank - we believe that this inclusive biobank is crucial for personalizing APBD      therapy</w:t>
            </w:r>
          </w:p>
        </w:tc>
        <w:tc>
          <w:tcPr>
            <w:tcW w:w="1890" w:type="dxa"/>
          </w:tcPr>
          <w:p w:rsidR="003E17F2" w:rsidRDefault="003E17F2" w:rsidP="001E1799">
            <w:pPr>
              <w:cnfStyle w:val="000000010000"/>
              <w:rPr>
                <w:rFonts w:asciiTheme="majorHAnsi" w:hAnsiTheme="majorHAnsi"/>
              </w:rPr>
            </w:pPr>
          </w:p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Mouse studies in progress. Paper </w:t>
            </w:r>
            <w:r w:rsidR="00A8035A">
              <w:rPr>
                <w:rFonts w:asciiTheme="majorHAnsi" w:hAnsiTheme="majorHAnsi"/>
              </w:rPr>
              <w:t xml:space="preserve">is </w:t>
            </w:r>
            <w:r w:rsidRPr="00071B40">
              <w:rPr>
                <w:rFonts w:asciiTheme="majorHAnsi" w:hAnsiTheme="majorHAnsi"/>
              </w:rPr>
              <w:t xml:space="preserve">submitted to </w:t>
            </w:r>
            <w:proofErr w:type="spellStart"/>
            <w:r w:rsidRPr="00071B40">
              <w:rPr>
                <w:rFonts w:asciiTheme="majorHAnsi" w:hAnsiTheme="majorHAnsi"/>
              </w:rPr>
              <w:t>Biochem</w:t>
            </w:r>
            <w:proofErr w:type="spellEnd"/>
            <w:r w:rsidRPr="00071B40">
              <w:rPr>
                <w:rFonts w:asciiTheme="majorHAnsi" w:hAnsiTheme="majorHAnsi"/>
              </w:rPr>
              <w:t xml:space="preserve"> J is being revised for resubmission</w:t>
            </w:r>
          </w:p>
        </w:tc>
        <w:tc>
          <w:tcPr>
            <w:tcW w:w="1593" w:type="dxa"/>
          </w:tcPr>
          <w:p w:rsidR="003E17F2" w:rsidRDefault="003E17F2" w:rsidP="001E1799">
            <w:pPr>
              <w:cnfStyle w:val="000000010000"/>
              <w:rPr>
                <w:rFonts w:asciiTheme="majorHAnsi" w:hAnsiTheme="majorHAnsi"/>
              </w:rPr>
            </w:pPr>
          </w:p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Received Israel Ministry of Science grant</w:t>
            </w:r>
          </w:p>
        </w:tc>
        <w:tc>
          <w:tcPr>
            <w:tcW w:w="1557" w:type="dxa"/>
          </w:tcPr>
          <w:p w:rsidR="003E17F2" w:rsidRDefault="003E17F2" w:rsidP="001E1799">
            <w:pPr>
              <w:cnfStyle w:val="000000010000"/>
              <w:rPr>
                <w:rFonts w:asciiTheme="majorHAnsi" w:hAnsiTheme="majorHAnsi"/>
              </w:rPr>
            </w:pPr>
          </w:p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Prof Weil,</w:t>
            </w:r>
            <w:r w:rsidRPr="00071B40">
              <w:rPr>
                <w:rFonts w:asciiTheme="majorHAnsi" w:eastAsia="Times New Roman" w:hAnsiTheme="majorHAnsi" w:cs="Arial"/>
                <w:color w:val="222222"/>
                <w:sz w:val="19"/>
                <w:szCs w:val="19"/>
              </w:rPr>
              <w:t xml:space="preserve"> / </w:t>
            </w:r>
            <w:r w:rsidRPr="00071B40">
              <w:rPr>
                <w:rFonts w:asciiTheme="majorHAnsi" w:hAnsiTheme="majorHAnsi"/>
              </w:rPr>
              <w:t xml:space="preserve">Dr. </w:t>
            </w:r>
            <w:proofErr w:type="spellStart"/>
            <w:r w:rsidRPr="00071B40">
              <w:rPr>
                <w:rFonts w:asciiTheme="majorHAnsi" w:hAnsiTheme="majorHAnsi"/>
              </w:rPr>
              <w:t>Kakhlon</w:t>
            </w:r>
            <w:proofErr w:type="spellEnd"/>
          </w:p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071B40" w:rsidRPr="00071B40" w:rsidTr="00A8035A">
        <w:trPr>
          <w:cnfStyle w:val="000000100000"/>
          <w:trHeight w:val="2977"/>
        </w:trPr>
        <w:tc>
          <w:tcPr>
            <w:cnfStyle w:val="001000000000"/>
            <w:tcW w:w="2240" w:type="dxa"/>
          </w:tcPr>
          <w:p w:rsidR="00071B40" w:rsidRPr="00071B40" w:rsidRDefault="00071B40" w:rsidP="001E1799">
            <w:r w:rsidRPr="00071B40">
              <w:t>Peptide (LTKE)-Pharmacophore project</w:t>
            </w:r>
          </w:p>
        </w:tc>
        <w:tc>
          <w:tcPr>
            <w:tcW w:w="2790" w:type="dxa"/>
          </w:tcPr>
          <w:p w:rsidR="00071B40" w:rsidRPr="00071B40" w:rsidRDefault="00071B40" w:rsidP="00082A60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Stabilize</w:t>
            </w:r>
            <w:r w:rsidR="00082A60">
              <w:rPr>
                <w:rFonts w:asciiTheme="majorHAnsi" w:hAnsiTheme="majorHAnsi"/>
              </w:rPr>
              <w:t>s</w:t>
            </w:r>
            <w:r w:rsidRPr="00071B40">
              <w:rPr>
                <w:rFonts w:asciiTheme="majorHAnsi" w:hAnsiTheme="majorHAnsi"/>
              </w:rPr>
              <w:t xml:space="preserve"> existing GBE </w:t>
            </w:r>
            <w:r w:rsidR="00A8035A">
              <w:rPr>
                <w:rFonts w:asciiTheme="majorHAnsi" w:hAnsiTheme="majorHAnsi"/>
              </w:rPr>
              <w:t xml:space="preserve">with </w:t>
            </w:r>
            <w:r w:rsidRPr="00071B40">
              <w:rPr>
                <w:rFonts w:asciiTheme="majorHAnsi" w:hAnsiTheme="majorHAnsi"/>
              </w:rPr>
              <w:t>p.Y329S by FDA approved molecular mimics of the LTKE peptide in patient derived PBMC cells. Looking for significant i</w:t>
            </w:r>
            <w:r w:rsidR="00082A60">
              <w:rPr>
                <w:rFonts w:asciiTheme="majorHAnsi" w:hAnsiTheme="majorHAnsi"/>
              </w:rPr>
              <w:t xml:space="preserve">mprovement of GBE activity. There are </w:t>
            </w:r>
            <w:r w:rsidRPr="00071B40">
              <w:rPr>
                <w:rFonts w:asciiTheme="majorHAnsi" w:hAnsiTheme="majorHAnsi"/>
              </w:rPr>
              <w:t>22 more molecules to test</w:t>
            </w:r>
          </w:p>
        </w:tc>
        <w:tc>
          <w:tcPr>
            <w:tcW w:w="1890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Pharmacophore candidates being tested </w:t>
            </w:r>
          </w:p>
        </w:tc>
        <w:tc>
          <w:tcPr>
            <w:tcW w:w="1593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proofErr w:type="spellStart"/>
            <w:r w:rsidRPr="00071B40">
              <w:rPr>
                <w:rFonts w:asciiTheme="majorHAnsi" w:hAnsiTheme="majorHAnsi"/>
              </w:rPr>
              <w:t>IsrAPBDf</w:t>
            </w:r>
            <w:proofErr w:type="spellEnd"/>
            <w:r w:rsidRPr="00071B40">
              <w:rPr>
                <w:rFonts w:asciiTheme="majorHAnsi" w:hAnsiTheme="majorHAnsi"/>
              </w:rPr>
              <w:t xml:space="preserve"> and the APBDRF supporting Dr. </w:t>
            </w:r>
            <w:proofErr w:type="spellStart"/>
            <w:r w:rsidRPr="00071B40">
              <w:rPr>
                <w:rFonts w:asciiTheme="majorHAnsi" w:hAnsiTheme="majorHAnsi"/>
              </w:rPr>
              <w:t>Kakhlon’s</w:t>
            </w:r>
            <w:proofErr w:type="spellEnd"/>
            <w:r w:rsidRPr="00071B40">
              <w:rPr>
                <w:rFonts w:asciiTheme="majorHAnsi" w:hAnsiTheme="majorHAnsi"/>
              </w:rPr>
              <w:t xml:space="preserve"> salary</w:t>
            </w:r>
          </w:p>
        </w:tc>
        <w:tc>
          <w:tcPr>
            <w:tcW w:w="1557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Dr. </w:t>
            </w:r>
            <w:proofErr w:type="spellStart"/>
            <w:r w:rsidRPr="00071B40">
              <w:rPr>
                <w:rFonts w:asciiTheme="majorHAnsi" w:hAnsiTheme="majorHAnsi"/>
              </w:rPr>
              <w:t>Kakhlon</w:t>
            </w:r>
            <w:proofErr w:type="spellEnd"/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Dr. Yue</w:t>
            </w:r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proofErr w:type="spellStart"/>
            <w:r w:rsidRPr="00071B40">
              <w:rPr>
                <w:rFonts w:asciiTheme="majorHAnsi" w:hAnsiTheme="majorHAnsi"/>
              </w:rPr>
              <w:t>Pepticom</w:t>
            </w:r>
            <w:proofErr w:type="spellEnd"/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Prof.</w:t>
            </w:r>
          </w:p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Goldblum</w:t>
            </w:r>
          </w:p>
        </w:tc>
      </w:tr>
      <w:tr w:rsidR="00071B40" w:rsidRPr="00071B40" w:rsidTr="00A8035A">
        <w:trPr>
          <w:cnfStyle w:val="000000010000"/>
          <w:trHeight w:val="1816"/>
        </w:trPr>
        <w:tc>
          <w:tcPr>
            <w:cnfStyle w:val="001000000000"/>
            <w:tcW w:w="2240" w:type="dxa"/>
          </w:tcPr>
          <w:p w:rsidR="00071B40" w:rsidRPr="00071B40" w:rsidRDefault="00071B40" w:rsidP="001E1799">
            <w:r w:rsidRPr="00071B40">
              <w:t>LTKE Peptide project</w:t>
            </w:r>
          </w:p>
        </w:tc>
        <w:tc>
          <w:tcPr>
            <w:tcW w:w="2790" w:type="dxa"/>
          </w:tcPr>
          <w:p w:rsidR="00071B40" w:rsidRPr="00071B40" w:rsidRDefault="00071B40" w:rsidP="00071B40">
            <w:pPr>
              <w:shd w:val="clear" w:color="auto" w:fill="FFFFFF"/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Stabilization of GBE p.Y329S</w:t>
            </w:r>
          </w:p>
        </w:tc>
        <w:tc>
          <w:tcPr>
            <w:tcW w:w="1890" w:type="dxa"/>
          </w:tcPr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Effect in cells published in 2015. Awaiting funding for tests in mice</w:t>
            </w:r>
          </w:p>
        </w:tc>
        <w:tc>
          <w:tcPr>
            <w:tcW w:w="1593" w:type="dxa"/>
          </w:tcPr>
          <w:p w:rsidR="00071B40" w:rsidRPr="00071B40" w:rsidRDefault="00071B40" w:rsidP="001E1799">
            <w:pPr>
              <w:shd w:val="clear" w:color="auto" w:fill="FFFFFF"/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Looking for funding to test in mice. Proof of concept in cells already published in 2015</w:t>
            </w:r>
          </w:p>
        </w:tc>
        <w:tc>
          <w:tcPr>
            <w:tcW w:w="1557" w:type="dxa"/>
          </w:tcPr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Dr </w:t>
            </w:r>
            <w:proofErr w:type="spellStart"/>
            <w:r w:rsidRPr="00071B40">
              <w:rPr>
                <w:rFonts w:asciiTheme="majorHAnsi" w:hAnsiTheme="majorHAnsi"/>
              </w:rPr>
              <w:t>Kakhlon</w:t>
            </w:r>
            <w:proofErr w:type="spellEnd"/>
          </w:p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Dr Yue</w:t>
            </w:r>
          </w:p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proofErr w:type="spellStart"/>
            <w:r w:rsidRPr="00071B40">
              <w:rPr>
                <w:rFonts w:asciiTheme="majorHAnsi" w:hAnsiTheme="majorHAnsi"/>
              </w:rPr>
              <w:t>Pepticom</w:t>
            </w:r>
            <w:proofErr w:type="spellEnd"/>
          </w:p>
          <w:p w:rsidR="00071B40" w:rsidRPr="00071B40" w:rsidRDefault="00071B40" w:rsidP="001E1799">
            <w:pPr>
              <w:cnfStyle w:val="00000001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Prof. Goldblum</w:t>
            </w:r>
          </w:p>
        </w:tc>
      </w:tr>
      <w:tr w:rsidR="00071B40" w:rsidRPr="00071B40" w:rsidTr="00A8035A">
        <w:trPr>
          <w:cnfStyle w:val="000000100000"/>
        </w:trPr>
        <w:tc>
          <w:tcPr>
            <w:cnfStyle w:val="001000000000"/>
            <w:tcW w:w="2240" w:type="dxa"/>
          </w:tcPr>
          <w:p w:rsidR="00071B40" w:rsidRPr="00071B40" w:rsidRDefault="00071B40" w:rsidP="001E1799">
            <w:r w:rsidRPr="00071B40">
              <w:t>Other research assets</w:t>
            </w:r>
          </w:p>
        </w:tc>
        <w:tc>
          <w:tcPr>
            <w:tcW w:w="2790" w:type="dxa"/>
          </w:tcPr>
          <w:p w:rsidR="0022757B" w:rsidRPr="00071B40" w:rsidRDefault="00071B40" w:rsidP="00071B40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 xml:space="preserve">Columbia APBD Registry CAP, NORD/APBDRF Natural History Study Registry (FAN), APBD </w:t>
            </w:r>
            <w:proofErr w:type="spellStart"/>
            <w:r w:rsidRPr="00071B40">
              <w:rPr>
                <w:rFonts w:asciiTheme="majorHAnsi" w:hAnsiTheme="majorHAnsi"/>
              </w:rPr>
              <w:t>Biobank</w:t>
            </w:r>
            <w:proofErr w:type="spellEnd"/>
            <w:r w:rsidRPr="00071B40">
              <w:rPr>
                <w:rFonts w:asciiTheme="majorHAnsi" w:hAnsiTheme="majorHAnsi"/>
              </w:rPr>
              <w:t xml:space="preserve"> skin fibroblasts</w:t>
            </w:r>
          </w:p>
        </w:tc>
        <w:tc>
          <w:tcPr>
            <w:tcW w:w="1890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593" w:type="dxa"/>
          </w:tcPr>
          <w:p w:rsidR="00071B40" w:rsidRPr="00071B40" w:rsidRDefault="00071B40" w:rsidP="001E1799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557" w:type="dxa"/>
          </w:tcPr>
          <w:p w:rsidR="00071B40" w:rsidRPr="00071B40" w:rsidRDefault="00071B40" w:rsidP="00A8035A">
            <w:pPr>
              <w:cnfStyle w:val="000000100000"/>
              <w:rPr>
                <w:rFonts w:asciiTheme="majorHAnsi" w:hAnsiTheme="majorHAnsi"/>
              </w:rPr>
            </w:pPr>
            <w:r w:rsidRPr="00071B40">
              <w:rPr>
                <w:rFonts w:asciiTheme="majorHAnsi" w:hAnsiTheme="majorHAnsi"/>
              </w:rPr>
              <w:t>Columbia University PI Dr. DiMauro/</w:t>
            </w:r>
            <w:r w:rsidR="00A8035A">
              <w:rPr>
                <w:rFonts w:asciiTheme="majorHAnsi" w:hAnsiTheme="majorHAnsi"/>
              </w:rPr>
              <w:t xml:space="preserve"> </w:t>
            </w:r>
            <w:r w:rsidRPr="00071B40">
              <w:rPr>
                <w:rFonts w:asciiTheme="majorHAnsi" w:hAnsiTheme="majorHAnsi"/>
              </w:rPr>
              <w:t xml:space="preserve">NORD/ Dr. </w:t>
            </w:r>
            <w:proofErr w:type="spellStart"/>
            <w:r w:rsidRPr="00071B40">
              <w:rPr>
                <w:rFonts w:asciiTheme="majorHAnsi" w:hAnsiTheme="majorHAnsi"/>
              </w:rPr>
              <w:t>Kakhlon</w:t>
            </w:r>
            <w:proofErr w:type="spellEnd"/>
          </w:p>
        </w:tc>
      </w:tr>
    </w:tbl>
    <w:p w:rsidR="003C23A2" w:rsidRPr="00071B40" w:rsidRDefault="003C23A2" w:rsidP="00071B40">
      <w:pPr>
        <w:rPr>
          <w:rFonts w:asciiTheme="majorHAnsi" w:hAnsiTheme="majorHAnsi"/>
        </w:rPr>
      </w:pPr>
    </w:p>
    <w:sectPr w:rsidR="003C23A2" w:rsidRPr="00071B40" w:rsidSect="00A8035A">
      <w:pgSz w:w="12240" w:h="15840"/>
      <w:pgMar w:top="126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2428"/>
    <w:multiLevelType w:val="hybridMultilevel"/>
    <w:tmpl w:val="2866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3A2"/>
    <w:rsid w:val="00037248"/>
    <w:rsid w:val="0003792B"/>
    <w:rsid w:val="00051847"/>
    <w:rsid w:val="00071B40"/>
    <w:rsid w:val="00082A60"/>
    <w:rsid w:val="000C15B5"/>
    <w:rsid w:val="000D57DB"/>
    <w:rsid w:val="000D6DE0"/>
    <w:rsid w:val="00133BC4"/>
    <w:rsid w:val="00156F78"/>
    <w:rsid w:val="001B7D09"/>
    <w:rsid w:val="001C61D6"/>
    <w:rsid w:val="001E1799"/>
    <w:rsid w:val="0022757B"/>
    <w:rsid w:val="00285908"/>
    <w:rsid w:val="002D6B0E"/>
    <w:rsid w:val="003275D7"/>
    <w:rsid w:val="0036629D"/>
    <w:rsid w:val="003C23A2"/>
    <w:rsid w:val="003E17F2"/>
    <w:rsid w:val="00433A68"/>
    <w:rsid w:val="00433DFC"/>
    <w:rsid w:val="0044355A"/>
    <w:rsid w:val="004631C8"/>
    <w:rsid w:val="00582E24"/>
    <w:rsid w:val="005F0A0F"/>
    <w:rsid w:val="006701DF"/>
    <w:rsid w:val="00685E08"/>
    <w:rsid w:val="00753913"/>
    <w:rsid w:val="00780923"/>
    <w:rsid w:val="008F028E"/>
    <w:rsid w:val="00903DC0"/>
    <w:rsid w:val="009868F5"/>
    <w:rsid w:val="00A35D26"/>
    <w:rsid w:val="00A8035A"/>
    <w:rsid w:val="00AF4B55"/>
    <w:rsid w:val="00B366A6"/>
    <w:rsid w:val="00B37357"/>
    <w:rsid w:val="00C96939"/>
    <w:rsid w:val="00CB4086"/>
    <w:rsid w:val="00D20965"/>
    <w:rsid w:val="00D9454A"/>
    <w:rsid w:val="00DA4E59"/>
    <w:rsid w:val="00DE423E"/>
    <w:rsid w:val="00DF5056"/>
    <w:rsid w:val="00E041CF"/>
    <w:rsid w:val="00E44ADC"/>
    <w:rsid w:val="00E6255D"/>
    <w:rsid w:val="00E85CC8"/>
    <w:rsid w:val="00ED7239"/>
    <w:rsid w:val="00F66C22"/>
    <w:rsid w:val="00FA619E"/>
    <w:rsid w:val="00FB0FBA"/>
    <w:rsid w:val="00FB160A"/>
    <w:rsid w:val="00FC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3C23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2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5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5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5D"/>
    <w:rPr>
      <w:rFonts w:ascii="Segoe UI" w:hAnsi="Segoe UI" w:cs="Segoe UI"/>
      <w:sz w:val="18"/>
      <w:szCs w:val="18"/>
    </w:rPr>
  </w:style>
  <w:style w:type="table" w:customStyle="1" w:styleId="ListTable1Light">
    <w:name w:val="List Table 1 Light"/>
    <w:basedOn w:val="TableNormal"/>
    <w:uiPriority w:val="46"/>
    <w:rsid w:val="00433D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0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E9B69A-3542-434D-A204-008379DA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user2</cp:lastModifiedBy>
  <cp:revision>3</cp:revision>
  <cp:lastPrinted>2017-05-02T16:54:00Z</cp:lastPrinted>
  <dcterms:created xsi:type="dcterms:W3CDTF">2017-05-04T19:06:00Z</dcterms:created>
  <dcterms:modified xsi:type="dcterms:W3CDTF">2017-05-04T19:07:00Z</dcterms:modified>
</cp:coreProperties>
</file>